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5CE8E" w14:textId="77777777" w:rsidR="00DF335F" w:rsidRPr="00DF45C7" w:rsidRDefault="00DF335F" w:rsidP="00DF335F">
      <w:pPr>
        <w:rPr>
          <w:rFonts w:ascii="Arial" w:hAnsi="Arial" w:cs="Arial"/>
        </w:rPr>
      </w:pPr>
    </w:p>
    <w:p w14:paraId="5D820296" w14:textId="77777777" w:rsidR="00DF335F" w:rsidRPr="006521A5" w:rsidRDefault="00DF335F" w:rsidP="00DF335F">
      <w:pPr>
        <w:jc w:val="both"/>
        <w:rPr>
          <w:rFonts w:ascii="Arial" w:hAnsi="Arial" w:cs="Arial"/>
          <w:b/>
          <w:sz w:val="28"/>
        </w:rPr>
      </w:pPr>
      <w:r w:rsidRPr="006521A5">
        <w:rPr>
          <w:rFonts w:ascii="Arial" w:hAnsi="Arial" w:cs="Arial"/>
          <w:b/>
          <w:sz w:val="28"/>
        </w:rPr>
        <w:t>Communiqué de presse</w:t>
      </w:r>
    </w:p>
    <w:p w14:paraId="5FAA2F00" w14:textId="094E1123" w:rsidR="00DF335F" w:rsidRDefault="00DF335F" w:rsidP="00DF335F">
      <w:pPr>
        <w:jc w:val="both"/>
        <w:rPr>
          <w:rFonts w:ascii="Arial" w:hAnsi="Arial" w:cs="Arial"/>
          <w:sz w:val="24"/>
        </w:rPr>
      </w:pPr>
      <w:r>
        <w:rPr>
          <w:rFonts w:ascii="Arial" w:hAnsi="Arial" w:cs="Arial"/>
          <w:sz w:val="24"/>
        </w:rPr>
        <w:t>Prix du meilleur plan de vigilance</w:t>
      </w:r>
    </w:p>
    <w:p w14:paraId="1ED9EC2B" w14:textId="3FC7139A" w:rsidR="00DF335F" w:rsidRDefault="00DF335F" w:rsidP="00DF335F">
      <w:pPr>
        <w:jc w:val="both"/>
        <w:rPr>
          <w:rFonts w:ascii="Arial" w:hAnsi="Arial" w:cs="Arial"/>
          <w:sz w:val="24"/>
        </w:rPr>
      </w:pPr>
      <w:r>
        <w:rPr>
          <w:rFonts w:ascii="Arial" w:hAnsi="Arial" w:cs="Arial"/>
          <w:sz w:val="24"/>
        </w:rPr>
        <w:t>Paris, le 13 décembre 2018</w:t>
      </w:r>
    </w:p>
    <w:p w14:paraId="2945E6F1" w14:textId="77777777" w:rsidR="00DF335F" w:rsidRPr="00956AA6" w:rsidRDefault="00DF335F" w:rsidP="00DF335F">
      <w:pPr>
        <w:jc w:val="both"/>
        <w:rPr>
          <w:rFonts w:ascii="Arial" w:hAnsi="Arial" w:cs="Arial"/>
          <w:sz w:val="24"/>
        </w:rPr>
      </w:pPr>
    </w:p>
    <w:p w14:paraId="79B983AA" w14:textId="77777777" w:rsidR="00DF335F" w:rsidRDefault="00DF335F" w:rsidP="00DF335F">
      <w:pPr>
        <w:shd w:val="clear" w:color="auto" w:fill="FDCB52"/>
        <w:jc w:val="center"/>
        <w:rPr>
          <w:rFonts w:ascii="Arial" w:hAnsi="Arial" w:cs="Arial"/>
          <w:b/>
          <w:color w:val="FFFFFF" w:themeColor="background1"/>
          <w:sz w:val="32"/>
        </w:rPr>
      </w:pPr>
    </w:p>
    <w:p w14:paraId="714198FA" w14:textId="77777777" w:rsidR="00DF335F" w:rsidRPr="00DF45C7" w:rsidRDefault="00DF335F" w:rsidP="00DF335F">
      <w:pPr>
        <w:jc w:val="both"/>
        <w:rPr>
          <w:rFonts w:ascii="Arial" w:hAnsi="Arial" w:cs="Arial"/>
        </w:rPr>
      </w:pPr>
    </w:p>
    <w:p w14:paraId="39C881E5" w14:textId="5D56A762" w:rsidR="00DF335F" w:rsidRDefault="00DF335F" w:rsidP="00DF335F">
      <w:pPr>
        <w:jc w:val="both"/>
        <w:rPr>
          <w:rFonts w:ascii="Arial" w:hAnsi="Arial" w:cs="Arial"/>
          <w:b/>
          <w:color w:val="1A0945"/>
        </w:rPr>
      </w:pPr>
      <w:r>
        <w:rPr>
          <w:rFonts w:ascii="Arial" w:hAnsi="Arial" w:cs="Arial"/>
          <w:b/>
          <w:color w:val="1A0945"/>
          <w:sz w:val="24"/>
        </w:rPr>
        <w:t>Orange lauréat du Prix du meilleur Plan de vigilance 2018 remis par A2 Consulting et le FIR.</w:t>
      </w:r>
    </w:p>
    <w:p w14:paraId="4B2EBE94" w14:textId="77777777" w:rsidR="00DF335F" w:rsidRPr="00DF45C7" w:rsidRDefault="00DF335F" w:rsidP="00DF335F">
      <w:pPr>
        <w:spacing w:line="276" w:lineRule="auto"/>
        <w:rPr>
          <w:rFonts w:ascii="Arial" w:hAnsi="Arial" w:cs="Arial"/>
          <w:sz w:val="20"/>
        </w:rPr>
      </w:pPr>
    </w:p>
    <w:p w14:paraId="4FD21F2D" w14:textId="666F362C" w:rsidR="00CC66A9" w:rsidRDefault="00CC66A9" w:rsidP="005110EB">
      <w:pPr>
        <w:spacing w:after="120" w:line="276" w:lineRule="auto"/>
        <w:rPr>
          <w:rFonts w:ascii="Arial" w:eastAsia="Times New Roman" w:hAnsi="Arial" w:cs="Arial"/>
          <w:color w:val="606060"/>
        </w:rPr>
      </w:pPr>
      <w:r>
        <w:rPr>
          <w:rFonts w:ascii="Arial" w:hAnsi="Arial" w:cs="Arial"/>
          <w:b/>
          <w:bCs/>
          <w:noProof/>
        </w:rPr>
        <mc:AlternateContent>
          <mc:Choice Requires="wps">
            <w:drawing>
              <wp:anchor distT="0" distB="0" distL="114300" distR="114300" simplePos="0" relativeHeight="251661312" behindDoc="1" locked="0" layoutInCell="1" allowOverlap="1" wp14:anchorId="537E2268" wp14:editId="2A098AD2">
                <wp:simplePos x="0" y="0"/>
                <wp:positionH relativeFrom="column">
                  <wp:posOffset>4542155</wp:posOffset>
                </wp:positionH>
                <wp:positionV relativeFrom="paragraph">
                  <wp:posOffset>919480</wp:posOffset>
                </wp:positionV>
                <wp:extent cx="2111375" cy="1234440"/>
                <wp:effectExtent l="0" t="0" r="3175" b="3810"/>
                <wp:wrapTight wrapText="bothSides">
                  <wp:wrapPolygon edited="0">
                    <wp:start x="0" y="0"/>
                    <wp:lineTo x="0" y="21333"/>
                    <wp:lineTo x="21438" y="21333"/>
                    <wp:lineTo x="21438" y="0"/>
                    <wp:lineTo x="0" y="0"/>
                  </wp:wrapPolygon>
                </wp:wrapTight>
                <wp:docPr id="3" name="Rectangle 3"/>
                <wp:cNvGraphicFramePr/>
                <a:graphic xmlns:a="http://schemas.openxmlformats.org/drawingml/2006/main">
                  <a:graphicData uri="http://schemas.microsoft.com/office/word/2010/wordprocessingShape">
                    <wps:wsp>
                      <wps:cNvSpPr/>
                      <wps:spPr>
                        <a:xfrm>
                          <a:off x="0" y="0"/>
                          <a:ext cx="2111375" cy="1234440"/>
                        </a:xfrm>
                        <a:prstGeom prst="rect">
                          <a:avLst/>
                        </a:prstGeom>
                        <a:solidFill>
                          <a:srgbClr val="FDCB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BC60E" w14:textId="0085B865" w:rsidR="00CC66A9" w:rsidRPr="00E52526" w:rsidRDefault="00E52526" w:rsidP="00E52526">
                            <w:pPr>
                              <w:spacing w:line="276" w:lineRule="auto"/>
                              <w:rPr>
                                <w:color w:val="1A0945"/>
                              </w:rPr>
                            </w:pPr>
                            <w:r w:rsidRPr="00E52526">
                              <w:rPr>
                                <w:rFonts w:ascii="Arial" w:hAnsi="Arial" w:cs="Arial"/>
                                <w:bCs/>
                                <w:color w:val="1A0945"/>
                              </w:rPr>
                              <w:t>80 % du référentiel du Prix porte sur les</w:t>
                            </w:r>
                            <w:r>
                              <w:rPr>
                                <w:rFonts w:ascii="Arial" w:hAnsi="Arial" w:cs="Arial"/>
                                <w:b/>
                                <w:bCs/>
                                <w:color w:val="1A0945"/>
                              </w:rPr>
                              <w:t xml:space="preserve"> obligations réglementaires </w:t>
                            </w:r>
                            <w:r w:rsidRPr="00E52526">
                              <w:rPr>
                                <w:rFonts w:ascii="Arial" w:hAnsi="Arial" w:cs="Arial"/>
                                <w:bCs/>
                                <w:color w:val="1A0945"/>
                              </w:rPr>
                              <w:t>à l’égard du devoir de vigilance, avec une très forte prépondérance du traitement des risques.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E2268" id="Rectangle 3" o:spid="_x0000_s1026" style="position:absolute;margin-left:357.65pt;margin-top:72.4pt;width:166.25pt;height:9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" fillcolor="#fdcb52" stroked="f" strokeweight="1pt">
                <v:textbox>
                  <w:txbxContent>
                    <w:p w14:paraId="179BC60E" w14:textId="0085B865" w:rsidR="00CC66A9" w:rsidRPr="00E52526" w:rsidRDefault="00E52526" w:rsidP="00E52526">
                      <w:pPr>
                        <w:spacing w:line="276" w:lineRule="auto"/>
                        <w:rPr>
                          <w:color w:val="1A0945"/>
                        </w:rPr>
                      </w:pPr>
                      <w:r w:rsidRPr="00E52526">
                        <w:rPr>
                          <w:rFonts w:ascii="Arial" w:hAnsi="Arial" w:cs="Arial"/>
                          <w:bCs/>
                          <w:color w:val="1A0945"/>
                        </w:rPr>
                        <w:t>80 % du référentiel du Prix porte sur les</w:t>
                      </w:r>
                      <w:r>
                        <w:rPr>
                          <w:rFonts w:ascii="Arial" w:hAnsi="Arial" w:cs="Arial"/>
                          <w:b/>
                          <w:bCs/>
                          <w:color w:val="1A0945"/>
                        </w:rPr>
                        <w:t xml:space="preserve"> obligations réglementaires </w:t>
                      </w:r>
                      <w:r w:rsidRPr="00E52526">
                        <w:rPr>
                          <w:rFonts w:ascii="Arial" w:hAnsi="Arial" w:cs="Arial"/>
                          <w:bCs/>
                          <w:color w:val="1A0945"/>
                        </w:rPr>
                        <w:t>à l’égard du devoir de vigilance, avec une très forte prépondérance du traitement des risques.</w:t>
                      </w:r>
                    </w:p>
                  </w:txbxContent>
                </v:textbox>
                <w10:wrap type="tight"/>
              </v:rect>
            </w:pict>
          </mc:Fallback>
        </mc:AlternateContent>
      </w:r>
      <w:r w:rsidR="00DF335F">
        <w:rPr>
          <w:rFonts w:ascii="Arial" w:eastAsia="Times New Roman" w:hAnsi="Arial" w:cs="Arial"/>
          <w:color w:val="606060"/>
          <w:sz w:val="23"/>
          <w:szCs w:val="23"/>
        </w:rPr>
        <w:t>Lors d’une cérémonie qui s’est tenue le mercredi 12 décembre à l’Assemblée nationale, Orange a reçu le prix du Meilleur Plan de vigilance 2018. Christine ALBANEL, directrice exécutive RSE diversité, partenariats et solidarité d’Orange a reçu le trophée des mains d’Héléna Charrier, présidente du jury et vice-présidente du FIR.</w:t>
      </w:r>
      <w:r w:rsidR="00DF335F">
        <w:rPr>
          <w:rFonts w:ascii="Arial" w:eastAsia="Times New Roman" w:hAnsi="Arial" w:cs="Arial"/>
          <w:color w:val="606060"/>
          <w:sz w:val="23"/>
          <w:szCs w:val="23"/>
        </w:rPr>
        <w:br/>
        <w:t> </w:t>
      </w:r>
      <w:r w:rsidR="00DF335F">
        <w:rPr>
          <w:rFonts w:ascii="Arial" w:eastAsia="Times New Roman" w:hAnsi="Arial" w:cs="Arial"/>
          <w:color w:val="606060"/>
          <w:sz w:val="23"/>
          <w:szCs w:val="23"/>
        </w:rPr>
        <w:br/>
        <w:t xml:space="preserve">Le Prix Plan Vigilance est destiné à récompenser l’entreprise qui produit le « meilleur » plan en conformité avec la loi sur le devoir de vigilance des sociétés mères et des entreprises donneuses d’ordre auprès de leurs filiales et de leurs sous-traitants, et tenant le mieux compte </w:t>
      </w:r>
      <w:r w:rsidR="00DF335F">
        <w:rPr>
          <w:rFonts w:ascii="Arial" w:eastAsia="Times New Roman" w:hAnsi="Arial" w:cs="Arial"/>
          <w:color w:val="606060"/>
        </w:rPr>
        <w:t>des bonnes pratiques internationalement reconnues telles que figurant dans les guidelines OCDE, ONU, ISO, dans le but de les faire émerger et de les promouvoir.</w:t>
      </w:r>
    </w:p>
    <w:p w14:paraId="6ACB52CF" w14:textId="17C9ADCB" w:rsidR="00CC66A9" w:rsidRDefault="00DF335F" w:rsidP="005110EB">
      <w:pPr>
        <w:spacing w:after="120" w:line="276" w:lineRule="auto"/>
        <w:rPr>
          <w:rFonts w:ascii="Arial" w:eastAsia="Times New Roman" w:hAnsi="Arial" w:cs="Arial"/>
          <w:color w:val="606060"/>
          <w:sz w:val="23"/>
          <w:szCs w:val="23"/>
        </w:rPr>
      </w:pPr>
      <w:r>
        <w:rPr>
          <w:rFonts w:ascii="Arial" w:eastAsia="Times New Roman" w:hAnsi="Arial" w:cs="Arial"/>
          <w:color w:val="606060"/>
          <w:sz w:val="23"/>
          <w:szCs w:val="23"/>
        </w:rPr>
        <w:t xml:space="preserve">Dès 2015, le Forum pour l’Investissement Responsable (FIR) a pris une </w:t>
      </w:r>
      <w:hyperlink r:id="rId7" w:history="1">
        <w:r>
          <w:rPr>
            <w:rStyle w:val="Lienhypertexte"/>
            <w:rFonts w:ascii="Arial" w:eastAsia="Times New Roman" w:hAnsi="Arial" w:cs="Arial"/>
            <w:color w:val="FF6600"/>
            <w:sz w:val="23"/>
            <w:szCs w:val="23"/>
          </w:rPr>
          <w:t>position</w:t>
        </w:r>
      </w:hyperlink>
      <w:r>
        <w:rPr>
          <w:rFonts w:ascii="Arial" w:eastAsia="Times New Roman" w:hAnsi="Arial" w:cs="Arial"/>
          <w:color w:val="606060"/>
          <w:sz w:val="23"/>
          <w:szCs w:val="23"/>
        </w:rPr>
        <w:t xml:space="preserve"> en faveur de la loi française sur le devoir de vigilance qui établit les premières mesures contraignant les acteurs à adopter une approche concrète de la gestion des risques (identifier, évaluer, agir, et surveiller) pesant sur leur chaîne d’approvisionnement et leurs relations d’affaires.</w:t>
      </w:r>
      <w:r>
        <w:rPr>
          <w:rFonts w:ascii="Arial" w:eastAsia="Times New Roman" w:hAnsi="Arial" w:cs="Arial"/>
          <w:color w:val="606060"/>
          <w:sz w:val="23"/>
          <w:szCs w:val="23"/>
        </w:rPr>
        <w:br/>
        <w:t> </w:t>
      </w:r>
      <w:r>
        <w:rPr>
          <w:rFonts w:ascii="Arial" w:eastAsia="Times New Roman" w:hAnsi="Arial" w:cs="Arial"/>
          <w:color w:val="606060"/>
          <w:sz w:val="23"/>
          <w:szCs w:val="23"/>
        </w:rPr>
        <w:br/>
        <w:t>Depuis sa création, A2 Consulting est fortement engagé sur les achats responsables, sous l’impulsion de son Président, Jacques SCHRAMM qui a notamment présidé l’ISO/PC 277 de 2013 à 2018, en charge de l’élaboration de la norme internationale « </w:t>
      </w:r>
      <w:proofErr w:type="spellStart"/>
      <w:r>
        <w:rPr>
          <w:rFonts w:ascii="Arial" w:eastAsia="Times New Roman" w:hAnsi="Arial" w:cs="Arial"/>
          <w:color w:val="606060"/>
          <w:sz w:val="23"/>
          <w:szCs w:val="23"/>
        </w:rPr>
        <w:t>Sustainable</w:t>
      </w:r>
      <w:proofErr w:type="spellEnd"/>
      <w:r>
        <w:rPr>
          <w:rFonts w:ascii="Arial" w:eastAsia="Times New Roman" w:hAnsi="Arial" w:cs="Arial"/>
          <w:color w:val="606060"/>
          <w:sz w:val="23"/>
          <w:szCs w:val="23"/>
        </w:rPr>
        <w:t xml:space="preserve"> </w:t>
      </w:r>
      <w:proofErr w:type="spellStart"/>
      <w:r>
        <w:rPr>
          <w:rFonts w:ascii="Arial" w:eastAsia="Times New Roman" w:hAnsi="Arial" w:cs="Arial"/>
          <w:color w:val="606060"/>
          <w:sz w:val="23"/>
          <w:szCs w:val="23"/>
        </w:rPr>
        <w:t>Procurement</w:t>
      </w:r>
      <w:proofErr w:type="spellEnd"/>
      <w:r>
        <w:rPr>
          <w:rFonts w:ascii="Arial" w:eastAsia="Times New Roman" w:hAnsi="Arial" w:cs="Arial"/>
          <w:color w:val="606060"/>
          <w:sz w:val="23"/>
          <w:szCs w:val="23"/>
        </w:rPr>
        <w:t> » ISO 20400.</w:t>
      </w:r>
      <w:r>
        <w:rPr>
          <w:rFonts w:ascii="Arial" w:eastAsia="Times New Roman" w:hAnsi="Arial" w:cs="Arial"/>
          <w:color w:val="606060"/>
          <w:sz w:val="23"/>
          <w:szCs w:val="23"/>
        </w:rPr>
        <w:br/>
        <w:t> </w:t>
      </w:r>
      <w:r>
        <w:rPr>
          <w:rFonts w:ascii="Arial" w:eastAsia="Times New Roman" w:hAnsi="Arial" w:cs="Arial"/>
          <w:color w:val="606060"/>
          <w:sz w:val="23"/>
          <w:szCs w:val="23"/>
        </w:rPr>
        <w:br/>
        <w:t>Le FIR et A2 Consulting, mènent actuellement des travaux en vue de la publication d’un cahier destiné à aider les investisseurs à mieux gérer les risques liés à la chaîne d'approvisionnement; il sera publié lors du premier semestre 2019. À l’occasion de ces travaux le FIR et A2 Consulting ont décidé de décerner un Prix afin d’encourager les entreprises à adopter les meilleures pratiques dans le cadre de la loi sur le devoir de vigilance.</w:t>
      </w:r>
      <w:r>
        <w:rPr>
          <w:rFonts w:ascii="Arial" w:eastAsia="Times New Roman" w:hAnsi="Arial" w:cs="Arial"/>
          <w:color w:val="606060"/>
          <w:sz w:val="23"/>
          <w:szCs w:val="23"/>
        </w:rPr>
        <w:br/>
        <w:t> </w:t>
      </w:r>
      <w:r>
        <w:rPr>
          <w:rFonts w:ascii="Arial" w:eastAsia="Times New Roman" w:hAnsi="Arial" w:cs="Arial"/>
          <w:color w:val="606060"/>
          <w:sz w:val="23"/>
          <w:szCs w:val="23"/>
        </w:rPr>
        <w:br/>
      </w:r>
      <w:r>
        <w:rPr>
          <w:rFonts w:ascii="Arial" w:eastAsia="Times New Roman" w:hAnsi="Arial" w:cs="Arial"/>
          <w:color w:val="606060"/>
          <w:sz w:val="23"/>
          <w:szCs w:val="23"/>
        </w:rPr>
        <w:lastRenderedPageBreak/>
        <w:t xml:space="preserve">A2 Consulting a développé une méthodologie d’évaluation des premiers plans de vigilance et cette </w:t>
      </w:r>
      <w:r w:rsidR="00CC66A9">
        <w:rPr>
          <w:rFonts w:ascii="Arial" w:hAnsi="Arial" w:cs="Arial"/>
          <w:b/>
          <w:bCs/>
          <w:noProof/>
        </w:rPr>
        <mc:AlternateContent>
          <mc:Choice Requires="wps">
            <w:drawing>
              <wp:anchor distT="0" distB="0" distL="114300" distR="114300" simplePos="0" relativeHeight="251659264" behindDoc="1" locked="0" layoutInCell="1" allowOverlap="1" wp14:anchorId="42FCC5B4" wp14:editId="0E743722">
                <wp:simplePos x="0" y="0"/>
                <wp:positionH relativeFrom="column">
                  <wp:posOffset>59377</wp:posOffset>
                </wp:positionH>
                <wp:positionV relativeFrom="paragraph">
                  <wp:posOffset>527</wp:posOffset>
                </wp:positionV>
                <wp:extent cx="1933575" cy="1390650"/>
                <wp:effectExtent l="0" t="0" r="9525" b="0"/>
                <wp:wrapTight wrapText="bothSides">
                  <wp:wrapPolygon edited="0">
                    <wp:start x="0" y="0"/>
                    <wp:lineTo x="0" y="21304"/>
                    <wp:lineTo x="21494" y="21304"/>
                    <wp:lineTo x="21494" y="0"/>
                    <wp:lineTo x="0" y="0"/>
                  </wp:wrapPolygon>
                </wp:wrapTight>
                <wp:docPr id="2" name="Rectangle 2"/>
                <wp:cNvGraphicFramePr/>
                <a:graphic xmlns:a="http://schemas.openxmlformats.org/drawingml/2006/main">
                  <a:graphicData uri="http://schemas.microsoft.com/office/word/2010/wordprocessingShape">
                    <wps:wsp>
                      <wps:cNvSpPr/>
                      <wps:spPr>
                        <a:xfrm>
                          <a:off x="0" y="0"/>
                          <a:ext cx="1933575" cy="1390650"/>
                        </a:xfrm>
                        <a:prstGeom prst="rect">
                          <a:avLst/>
                        </a:prstGeom>
                        <a:solidFill>
                          <a:srgbClr val="FDCB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4AE5C" w14:textId="74454BE3" w:rsidR="00CC66A9" w:rsidRPr="006521A5" w:rsidRDefault="00CC66A9" w:rsidP="00CC66A9">
                            <w:pPr>
                              <w:spacing w:line="276" w:lineRule="auto"/>
                              <w:jc w:val="both"/>
                              <w:rPr>
                                <w:b/>
                                <w:color w:val="1A0945"/>
                              </w:rPr>
                            </w:pPr>
                            <w:r>
                              <w:rPr>
                                <w:rFonts w:ascii="Arial" w:hAnsi="Arial" w:cs="Arial"/>
                                <w:b/>
                                <w:bCs/>
                                <w:color w:val="1A0945"/>
                              </w:rPr>
                              <w:t>Seuls 16</w:t>
                            </w:r>
                            <w:r w:rsidRPr="006521A5">
                              <w:rPr>
                                <w:rFonts w:ascii="Arial" w:hAnsi="Arial" w:cs="Arial"/>
                                <w:b/>
                                <w:bCs/>
                                <w:color w:val="1A0945"/>
                              </w:rPr>
                              <w:t xml:space="preserve"> %</w:t>
                            </w:r>
                            <w:r w:rsidRPr="006521A5">
                              <w:rPr>
                                <w:rFonts w:ascii="Arial" w:hAnsi="Arial" w:cs="Arial"/>
                                <w:bCs/>
                                <w:color w:val="1A0945"/>
                              </w:rPr>
                              <w:t xml:space="preserve"> </w:t>
                            </w:r>
                            <w:r>
                              <w:rPr>
                                <w:rFonts w:ascii="Arial" w:hAnsi="Arial" w:cs="Arial"/>
                                <w:bCs/>
                                <w:color w:val="1A0945"/>
                              </w:rPr>
                              <w:t xml:space="preserve">de l’échantillon (entreprises du CAC40) </w:t>
                            </w:r>
                            <w:r w:rsidRPr="006521A5">
                              <w:rPr>
                                <w:rFonts w:ascii="Arial" w:hAnsi="Arial" w:cs="Arial"/>
                                <w:bCs/>
                                <w:color w:val="1A0945"/>
                              </w:rPr>
                              <w:t>ont</w:t>
                            </w:r>
                            <w:r>
                              <w:rPr>
                                <w:rFonts w:ascii="Arial" w:hAnsi="Arial" w:cs="Arial"/>
                                <w:bCs/>
                                <w:color w:val="1A0945"/>
                              </w:rPr>
                              <w:t xml:space="preserve"> un niveau de maturité « confirmé » selon le référentiel du Prix. Et aucune entreprise n’atteint le niveau « leader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CC5B4" id="Rectangle 2" o:spid="_x0000_s1027" style="position:absolute;margin-left:4.7pt;margin-top:.05pt;width:152.2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" fillcolor="#fdcb52" stroked="f" strokeweight="1pt">
                <v:textbox>
                  <w:txbxContent>
                    <w:p w14:paraId="1534AE5C" w14:textId="74454BE3" w:rsidR="00CC66A9" w:rsidRPr="006521A5" w:rsidRDefault="00CC66A9" w:rsidP="00CC66A9">
                      <w:pPr>
                        <w:spacing w:line="276" w:lineRule="auto"/>
                        <w:jc w:val="both"/>
                        <w:rPr>
                          <w:b/>
                          <w:color w:val="1A0945"/>
                        </w:rPr>
                      </w:pPr>
                      <w:r>
                        <w:rPr>
                          <w:rFonts w:ascii="Arial" w:hAnsi="Arial" w:cs="Arial"/>
                          <w:b/>
                          <w:bCs/>
                          <w:color w:val="1A0945"/>
                        </w:rPr>
                        <w:t>Seuls 16</w:t>
                      </w:r>
                      <w:r w:rsidRPr="006521A5">
                        <w:rPr>
                          <w:rFonts w:ascii="Arial" w:hAnsi="Arial" w:cs="Arial"/>
                          <w:b/>
                          <w:bCs/>
                          <w:color w:val="1A0945"/>
                        </w:rPr>
                        <w:t xml:space="preserve"> %</w:t>
                      </w:r>
                      <w:r w:rsidRPr="006521A5">
                        <w:rPr>
                          <w:rFonts w:ascii="Arial" w:hAnsi="Arial" w:cs="Arial"/>
                          <w:bCs/>
                          <w:color w:val="1A0945"/>
                        </w:rPr>
                        <w:t xml:space="preserve"> </w:t>
                      </w:r>
                      <w:r>
                        <w:rPr>
                          <w:rFonts w:ascii="Arial" w:hAnsi="Arial" w:cs="Arial"/>
                          <w:bCs/>
                          <w:color w:val="1A0945"/>
                        </w:rPr>
                        <w:t xml:space="preserve">de l’échantillon (entreprises du CAC40) </w:t>
                      </w:r>
                      <w:r w:rsidRPr="006521A5">
                        <w:rPr>
                          <w:rFonts w:ascii="Arial" w:hAnsi="Arial" w:cs="Arial"/>
                          <w:bCs/>
                          <w:color w:val="1A0945"/>
                        </w:rPr>
                        <w:t>ont</w:t>
                      </w:r>
                      <w:r>
                        <w:rPr>
                          <w:rFonts w:ascii="Arial" w:hAnsi="Arial" w:cs="Arial"/>
                          <w:bCs/>
                          <w:color w:val="1A0945"/>
                        </w:rPr>
                        <w:t xml:space="preserve"> un niveau de maturité « confirmé » selon le référentiel du Prix. Et aucune entreprise n’atteint le niveau « leader ».</w:t>
                      </w:r>
                    </w:p>
                  </w:txbxContent>
                </v:textbox>
                <w10:wrap type="tight"/>
              </v:rect>
            </w:pict>
          </mc:Fallback>
        </mc:AlternateContent>
      </w:r>
      <w:r>
        <w:rPr>
          <w:rFonts w:ascii="Arial" w:eastAsia="Times New Roman" w:hAnsi="Arial" w:cs="Arial"/>
          <w:color w:val="606060"/>
          <w:sz w:val="23"/>
          <w:szCs w:val="23"/>
        </w:rPr>
        <w:t>méthodologie a été appliquée pour ce premier exercice aux sociétés du CAC 40. Les résultats ont été présentés et débattus par un jury multi-parties prenantes. </w:t>
      </w:r>
    </w:p>
    <w:p w14:paraId="63853662" w14:textId="2BE55BE3" w:rsidR="00E87469" w:rsidRDefault="00DF335F" w:rsidP="005110EB">
      <w:pPr>
        <w:spacing w:after="120" w:line="276" w:lineRule="auto"/>
        <w:rPr>
          <w:rFonts w:ascii="Arial" w:eastAsia="Times New Roman" w:hAnsi="Arial" w:cs="Arial"/>
          <w:color w:val="606060"/>
          <w:sz w:val="23"/>
          <w:szCs w:val="23"/>
        </w:rPr>
      </w:pPr>
      <w:r>
        <w:rPr>
          <w:rFonts w:ascii="Arial" w:eastAsia="Times New Roman" w:hAnsi="Arial" w:cs="Arial"/>
          <w:color w:val="606060"/>
          <w:sz w:val="23"/>
          <w:szCs w:val="23"/>
        </w:rPr>
        <w:br/>
        <w:t> </w:t>
      </w:r>
    </w:p>
    <w:p w14:paraId="1902CC57" w14:textId="1B65D3EA" w:rsidR="00D85E02" w:rsidRDefault="00D85E02" w:rsidP="005110EB">
      <w:pPr>
        <w:spacing w:after="120" w:line="276" w:lineRule="auto"/>
        <w:rPr>
          <w:rFonts w:ascii="Arial" w:eastAsia="Times New Roman" w:hAnsi="Arial" w:cs="Arial"/>
          <w:color w:val="606060"/>
          <w:sz w:val="23"/>
          <w:szCs w:val="23"/>
        </w:rPr>
      </w:pPr>
    </w:p>
    <w:p w14:paraId="2C7F753A" w14:textId="380F6012" w:rsidR="00D85E02" w:rsidRDefault="00D85E02" w:rsidP="005110EB">
      <w:pPr>
        <w:spacing w:after="120" w:line="276" w:lineRule="auto"/>
        <w:rPr>
          <w:rFonts w:ascii="Arial" w:eastAsia="Times New Roman" w:hAnsi="Arial" w:cs="Arial"/>
          <w:color w:val="606060"/>
          <w:sz w:val="23"/>
          <w:szCs w:val="23"/>
        </w:rPr>
      </w:pPr>
      <w:r>
        <w:rPr>
          <w:rFonts w:ascii="Arial" w:eastAsia="Times New Roman" w:hAnsi="Arial" w:cs="Arial"/>
          <w:color w:val="606060"/>
          <w:sz w:val="23"/>
          <w:szCs w:val="23"/>
        </w:rPr>
        <w:t xml:space="preserve">Le jury du prix 2018 : </w:t>
      </w:r>
    </w:p>
    <w:p w14:paraId="289BD8F1" w14:textId="77777777" w:rsidR="00D85E02" w:rsidRPr="00D85E02" w:rsidRDefault="00D85E02" w:rsidP="00D85E02">
      <w:pPr>
        <w:spacing w:after="120" w:line="276" w:lineRule="auto"/>
        <w:rPr>
          <w:rFonts w:ascii="Arial" w:eastAsia="Times New Roman" w:hAnsi="Arial" w:cs="Arial"/>
          <w:color w:val="606060"/>
          <w:sz w:val="23"/>
          <w:szCs w:val="23"/>
        </w:rPr>
      </w:pPr>
      <w:r w:rsidRPr="00D85E02">
        <w:rPr>
          <w:rFonts w:ascii="Arial" w:eastAsia="Times New Roman" w:hAnsi="Arial" w:cs="Arial"/>
          <w:b/>
          <w:color w:val="606060"/>
          <w:sz w:val="23"/>
          <w:szCs w:val="23"/>
        </w:rPr>
        <w:t>Laurent BERGER</w:t>
      </w:r>
      <w:r w:rsidRPr="00D85E02">
        <w:rPr>
          <w:rFonts w:ascii="Arial" w:eastAsia="Times New Roman" w:hAnsi="Arial" w:cs="Arial"/>
          <w:color w:val="606060"/>
          <w:sz w:val="23"/>
          <w:szCs w:val="23"/>
        </w:rPr>
        <w:t>, Secrétaire Général de la CFDT</w:t>
      </w:r>
    </w:p>
    <w:p w14:paraId="7DDE4ECB" w14:textId="77777777" w:rsidR="00D85E02" w:rsidRPr="00D85E02" w:rsidRDefault="00D85E02" w:rsidP="00D85E02">
      <w:pPr>
        <w:spacing w:after="120" w:line="276" w:lineRule="auto"/>
        <w:rPr>
          <w:rFonts w:ascii="Arial" w:eastAsia="Times New Roman" w:hAnsi="Arial" w:cs="Arial"/>
          <w:color w:val="606060"/>
          <w:sz w:val="23"/>
          <w:szCs w:val="23"/>
        </w:rPr>
      </w:pPr>
      <w:r w:rsidRPr="00D85E02">
        <w:rPr>
          <w:rFonts w:ascii="Arial" w:eastAsia="Times New Roman" w:hAnsi="Arial" w:cs="Arial"/>
          <w:b/>
          <w:color w:val="606060"/>
          <w:sz w:val="23"/>
          <w:szCs w:val="23"/>
        </w:rPr>
        <w:t>Elise CALAIS</w:t>
      </w:r>
      <w:r w:rsidRPr="00D85E02">
        <w:rPr>
          <w:rFonts w:ascii="Arial" w:eastAsia="Times New Roman" w:hAnsi="Arial" w:cs="Arial"/>
          <w:color w:val="606060"/>
          <w:sz w:val="23"/>
          <w:szCs w:val="23"/>
        </w:rPr>
        <w:t>, Sous-directrice de la Responsabilité Environnementale des Acteurs Economiques, Commissariat Général au Développement Durable</w:t>
      </w:r>
    </w:p>
    <w:p w14:paraId="5481B941" w14:textId="77777777" w:rsidR="00D85E02" w:rsidRPr="00D85E02" w:rsidRDefault="00D85E02" w:rsidP="00D85E02">
      <w:pPr>
        <w:spacing w:after="120" w:line="276" w:lineRule="auto"/>
        <w:rPr>
          <w:rFonts w:ascii="Arial" w:eastAsia="Times New Roman" w:hAnsi="Arial" w:cs="Arial"/>
          <w:color w:val="606060"/>
          <w:sz w:val="23"/>
          <w:szCs w:val="23"/>
        </w:rPr>
      </w:pPr>
      <w:r w:rsidRPr="00D85E02">
        <w:rPr>
          <w:rFonts w:ascii="Arial" w:eastAsia="Times New Roman" w:hAnsi="Arial" w:cs="Arial"/>
          <w:b/>
          <w:color w:val="606060"/>
          <w:sz w:val="23"/>
          <w:szCs w:val="23"/>
        </w:rPr>
        <w:t>Héléna CHARRIER</w:t>
      </w:r>
      <w:r w:rsidRPr="00D85E02">
        <w:rPr>
          <w:rFonts w:ascii="Arial" w:eastAsia="Times New Roman" w:hAnsi="Arial" w:cs="Arial"/>
          <w:color w:val="606060"/>
          <w:sz w:val="23"/>
          <w:szCs w:val="23"/>
        </w:rPr>
        <w:t>, Directeur des Projets Investissement Responsable à la CDC, Vice-Présidente du FIR</w:t>
      </w:r>
    </w:p>
    <w:p w14:paraId="0FACE807" w14:textId="77777777" w:rsidR="00D85E02" w:rsidRPr="00D85E02" w:rsidRDefault="00D85E02" w:rsidP="00D85E02">
      <w:pPr>
        <w:spacing w:after="120" w:line="276" w:lineRule="auto"/>
        <w:rPr>
          <w:rFonts w:ascii="Arial" w:eastAsia="Times New Roman" w:hAnsi="Arial" w:cs="Arial"/>
          <w:color w:val="606060"/>
          <w:sz w:val="23"/>
          <w:szCs w:val="23"/>
        </w:rPr>
      </w:pPr>
      <w:r w:rsidRPr="00D85E02">
        <w:rPr>
          <w:rFonts w:ascii="Arial" w:eastAsia="Times New Roman" w:hAnsi="Arial" w:cs="Arial"/>
          <w:b/>
          <w:color w:val="606060"/>
          <w:sz w:val="23"/>
          <w:szCs w:val="23"/>
        </w:rPr>
        <w:t>Olivier LUNEAU</w:t>
      </w:r>
      <w:r w:rsidRPr="00D85E02">
        <w:rPr>
          <w:rFonts w:ascii="Arial" w:eastAsia="Times New Roman" w:hAnsi="Arial" w:cs="Arial"/>
          <w:color w:val="606060"/>
          <w:sz w:val="23"/>
          <w:szCs w:val="23"/>
        </w:rPr>
        <w:t>, Membre du Conseil d</w:t>
      </w:r>
      <w:bookmarkStart w:id="0" w:name="_GoBack"/>
      <w:bookmarkEnd w:id="0"/>
      <w:r w:rsidRPr="00D85E02">
        <w:rPr>
          <w:rFonts w:ascii="Arial" w:eastAsia="Times New Roman" w:hAnsi="Arial" w:cs="Arial"/>
          <w:color w:val="606060"/>
          <w:sz w:val="23"/>
          <w:szCs w:val="23"/>
        </w:rPr>
        <w:t xml:space="preserve">’Administration de </w:t>
      </w:r>
      <w:proofErr w:type="spellStart"/>
      <w:r w:rsidRPr="00D85E02">
        <w:rPr>
          <w:rFonts w:ascii="Arial" w:eastAsia="Times New Roman" w:hAnsi="Arial" w:cs="Arial"/>
          <w:color w:val="606060"/>
          <w:sz w:val="23"/>
          <w:szCs w:val="23"/>
        </w:rPr>
        <w:t>Transparency</w:t>
      </w:r>
      <w:proofErr w:type="spellEnd"/>
      <w:r w:rsidRPr="00D85E02">
        <w:rPr>
          <w:rFonts w:ascii="Arial" w:eastAsia="Times New Roman" w:hAnsi="Arial" w:cs="Arial"/>
          <w:color w:val="606060"/>
          <w:sz w:val="23"/>
          <w:szCs w:val="23"/>
        </w:rPr>
        <w:t xml:space="preserve"> International France</w:t>
      </w:r>
    </w:p>
    <w:p w14:paraId="774E2038" w14:textId="77777777" w:rsidR="00D85E02" w:rsidRPr="00D85E02" w:rsidRDefault="00D85E02" w:rsidP="00D85E02">
      <w:pPr>
        <w:spacing w:after="120" w:line="276" w:lineRule="auto"/>
        <w:rPr>
          <w:rFonts w:ascii="Arial" w:eastAsia="Times New Roman" w:hAnsi="Arial" w:cs="Arial"/>
          <w:color w:val="606060"/>
          <w:sz w:val="23"/>
          <w:szCs w:val="23"/>
        </w:rPr>
      </w:pPr>
      <w:r w:rsidRPr="00D85E02">
        <w:rPr>
          <w:rFonts w:ascii="Arial" w:eastAsia="Times New Roman" w:hAnsi="Arial" w:cs="Arial"/>
          <w:b/>
          <w:color w:val="606060"/>
          <w:sz w:val="23"/>
          <w:szCs w:val="23"/>
        </w:rPr>
        <w:t>Stéphanie KERBARH</w:t>
      </w:r>
      <w:r w:rsidRPr="00D85E02">
        <w:rPr>
          <w:rFonts w:ascii="Arial" w:eastAsia="Times New Roman" w:hAnsi="Arial" w:cs="Arial"/>
          <w:color w:val="606060"/>
          <w:sz w:val="23"/>
          <w:szCs w:val="23"/>
        </w:rPr>
        <w:t>, Députée de la Seine Maritime à l’Assemblée Nationale, Présidente du groupe d’étude sur la RSE</w:t>
      </w:r>
    </w:p>
    <w:p w14:paraId="0B36EFB8" w14:textId="77777777" w:rsidR="00D85E02" w:rsidRPr="00D85E02" w:rsidRDefault="00D85E02" w:rsidP="00D85E02">
      <w:pPr>
        <w:spacing w:after="120" w:line="276" w:lineRule="auto"/>
        <w:rPr>
          <w:rFonts w:ascii="Arial" w:eastAsia="Times New Roman" w:hAnsi="Arial" w:cs="Arial"/>
          <w:color w:val="606060"/>
          <w:sz w:val="23"/>
          <w:szCs w:val="23"/>
        </w:rPr>
      </w:pPr>
      <w:r w:rsidRPr="00D85E02">
        <w:rPr>
          <w:rFonts w:ascii="Arial" w:eastAsia="Times New Roman" w:hAnsi="Arial" w:cs="Arial"/>
          <w:b/>
          <w:color w:val="606060"/>
          <w:sz w:val="23"/>
          <w:szCs w:val="23"/>
        </w:rPr>
        <w:t>Jacques SCHRAMM</w:t>
      </w:r>
      <w:r w:rsidRPr="00D85E02">
        <w:rPr>
          <w:rFonts w:ascii="Arial" w:eastAsia="Times New Roman" w:hAnsi="Arial" w:cs="Arial"/>
          <w:color w:val="606060"/>
          <w:sz w:val="23"/>
          <w:szCs w:val="23"/>
        </w:rPr>
        <w:t xml:space="preserve">, </w:t>
      </w:r>
      <w:proofErr w:type="gramStart"/>
      <w:r w:rsidRPr="00D85E02">
        <w:rPr>
          <w:rFonts w:ascii="Arial" w:eastAsia="Times New Roman" w:hAnsi="Arial" w:cs="Arial"/>
          <w:color w:val="606060"/>
          <w:sz w:val="23"/>
          <w:szCs w:val="23"/>
        </w:rPr>
        <w:t>ex Président</w:t>
      </w:r>
      <w:proofErr w:type="gramEnd"/>
      <w:r w:rsidRPr="00D85E02">
        <w:rPr>
          <w:rFonts w:ascii="Arial" w:eastAsia="Times New Roman" w:hAnsi="Arial" w:cs="Arial"/>
          <w:color w:val="606060"/>
          <w:sz w:val="23"/>
          <w:szCs w:val="23"/>
        </w:rPr>
        <w:t xml:space="preserve"> de l’ISO/PC 277 pour la norme ISO 20400 Achats Responsables</w:t>
      </w:r>
    </w:p>
    <w:p w14:paraId="40E55E84" w14:textId="5597248F" w:rsidR="00D85E02" w:rsidRDefault="00D85E02" w:rsidP="00D85E02">
      <w:pPr>
        <w:spacing w:after="120" w:line="276" w:lineRule="auto"/>
        <w:rPr>
          <w:rFonts w:ascii="Arial" w:eastAsia="Times New Roman" w:hAnsi="Arial" w:cs="Arial"/>
          <w:color w:val="606060"/>
          <w:sz w:val="23"/>
          <w:szCs w:val="23"/>
        </w:rPr>
      </w:pPr>
      <w:r w:rsidRPr="00D85E02">
        <w:rPr>
          <w:rFonts w:ascii="Arial" w:eastAsia="Times New Roman" w:hAnsi="Arial" w:cs="Arial"/>
          <w:b/>
          <w:color w:val="606060"/>
          <w:sz w:val="23"/>
          <w:szCs w:val="23"/>
        </w:rPr>
        <w:t>Farid YAKER</w:t>
      </w:r>
      <w:r w:rsidRPr="00D85E02">
        <w:rPr>
          <w:rFonts w:ascii="Arial" w:eastAsia="Times New Roman" w:hAnsi="Arial" w:cs="Arial"/>
          <w:color w:val="606060"/>
          <w:sz w:val="23"/>
          <w:szCs w:val="23"/>
        </w:rPr>
        <w:t xml:space="preserve">, Chef de programme </w:t>
      </w:r>
      <w:proofErr w:type="spellStart"/>
      <w:r w:rsidRPr="00D85E02">
        <w:rPr>
          <w:rFonts w:ascii="Arial" w:eastAsia="Times New Roman" w:hAnsi="Arial" w:cs="Arial"/>
          <w:color w:val="606060"/>
          <w:sz w:val="23"/>
          <w:szCs w:val="23"/>
        </w:rPr>
        <w:t>Sustainable</w:t>
      </w:r>
      <w:proofErr w:type="spellEnd"/>
      <w:r w:rsidRPr="00D85E02">
        <w:rPr>
          <w:rFonts w:ascii="Arial" w:eastAsia="Times New Roman" w:hAnsi="Arial" w:cs="Arial"/>
          <w:color w:val="606060"/>
          <w:sz w:val="23"/>
          <w:szCs w:val="23"/>
        </w:rPr>
        <w:t xml:space="preserve"> </w:t>
      </w:r>
      <w:proofErr w:type="spellStart"/>
      <w:r w:rsidRPr="00D85E02">
        <w:rPr>
          <w:rFonts w:ascii="Arial" w:eastAsia="Times New Roman" w:hAnsi="Arial" w:cs="Arial"/>
          <w:color w:val="606060"/>
          <w:sz w:val="23"/>
          <w:szCs w:val="23"/>
        </w:rPr>
        <w:t>Procurement</w:t>
      </w:r>
      <w:proofErr w:type="spellEnd"/>
      <w:r w:rsidRPr="00D85E02">
        <w:rPr>
          <w:rFonts w:ascii="Arial" w:eastAsia="Times New Roman" w:hAnsi="Arial" w:cs="Arial"/>
          <w:color w:val="606060"/>
          <w:sz w:val="23"/>
          <w:szCs w:val="23"/>
        </w:rPr>
        <w:t xml:space="preserve"> UNEP</w:t>
      </w:r>
    </w:p>
    <w:p w14:paraId="2954DB33" w14:textId="2E3933CE" w:rsidR="00DF335F" w:rsidRPr="00CC66A9" w:rsidRDefault="00DF335F" w:rsidP="005110EB">
      <w:pPr>
        <w:spacing w:after="120" w:line="276" w:lineRule="auto"/>
        <w:rPr>
          <w:rFonts w:ascii="Arial" w:eastAsia="Times New Roman" w:hAnsi="Arial" w:cs="Arial"/>
          <w:color w:val="606060"/>
          <w:sz w:val="23"/>
          <w:szCs w:val="23"/>
        </w:rPr>
      </w:pPr>
      <w:r>
        <w:rPr>
          <w:rFonts w:ascii="Arial" w:eastAsia="Times New Roman" w:hAnsi="Arial" w:cs="Arial"/>
          <w:color w:val="606060"/>
          <w:sz w:val="23"/>
          <w:szCs w:val="23"/>
        </w:rPr>
        <w:br/>
      </w:r>
      <w:hyperlink r:id="rId8" w:history="1">
        <w:r w:rsidRPr="00CC66A9">
          <w:rPr>
            <w:rStyle w:val="Lienhypertexte"/>
            <w:rFonts w:ascii="Arial" w:eastAsia="Times New Roman" w:hAnsi="Arial" w:cs="Arial"/>
            <w:sz w:val="23"/>
            <w:szCs w:val="23"/>
          </w:rPr>
          <w:t>Consulter les éléments méthodologiques</w:t>
        </w:r>
      </w:hyperlink>
      <w:r>
        <w:rPr>
          <w:rFonts w:ascii="Arial" w:eastAsia="Times New Roman" w:hAnsi="Arial" w:cs="Arial"/>
          <w:color w:val="606060"/>
          <w:sz w:val="23"/>
          <w:szCs w:val="23"/>
        </w:rPr>
        <w:br/>
        <w:t> </w:t>
      </w:r>
      <w:r>
        <w:rPr>
          <w:rFonts w:ascii="Arial" w:eastAsia="Times New Roman" w:hAnsi="Arial" w:cs="Arial"/>
          <w:color w:val="606060"/>
          <w:sz w:val="23"/>
          <w:szCs w:val="23"/>
        </w:rPr>
        <w:br/>
      </w:r>
      <w:hyperlink r:id="rId9" w:history="1">
        <w:r w:rsidRPr="00CC66A9">
          <w:rPr>
            <w:rStyle w:val="Lienhypertexte"/>
            <w:rFonts w:ascii="Arial" w:eastAsia="Times New Roman" w:hAnsi="Arial" w:cs="Arial"/>
            <w:sz w:val="23"/>
            <w:szCs w:val="23"/>
          </w:rPr>
          <w:t>Le propos introductif de la cérémonie du Prix d’Alexis Masse, président du FIR</w:t>
        </w:r>
      </w:hyperlink>
      <w:r>
        <w:rPr>
          <w:rFonts w:ascii="Arial" w:eastAsia="Times New Roman" w:hAnsi="Arial" w:cs="Arial"/>
          <w:color w:val="606060"/>
          <w:sz w:val="23"/>
          <w:szCs w:val="23"/>
        </w:rPr>
        <w:br/>
      </w:r>
    </w:p>
    <w:tbl>
      <w:tblPr>
        <w:tblStyle w:val="Grilledutableau"/>
        <w:tblW w:w="0" w:type="auto"/>
        <w:tblBorders>
          <w:top w:val="single" w:sz="4" w:space="0" w:color="1A0945"/>
          <w:left w:val="single" w:sz="4" w:space="0" w:color="1A0945"/>
          <w:bottom w:val="single" w:sz="4" w:space="0" w:color="1A0945"/>
          <w:right w:val="single" w:sz="4" w:space="0" w:color="1A0945"/>
          <w:insideH w:val="single" w:sz="4" w:space="0" w:color="1A0945"/>
          <w:insideV w:val="single" w:sz="4" w:space="0" w:color="1A0945"/>
        </w:tblBorders>
        <w:tblCellMar>
          <w:top w:w="227" w:type="dxa"/>
          <w:left w:w="227" w:type="dxa"/>
          <w:bottom w:w="227" w:type="dxa"/>
          <w:right w:w="227" w:type="dxa"/>
        </w:tblCellMar>
        <w:tblLook w:val="04A0" w:firstRow="1" w:lastRow="0" w:firstColumn="1" w:lastColumn="0" w:noHBand="0" w:noVBand="1"/>
      </w:tblPr>
      <w:tblGrid>
        <w:gridCol w:w="10456"/>
      </w:tblGrid>
      <w:tr w:rsidR="00DF335F" w:rsidRPr="00DF45C7" w14:paraId="29116E7A" w14:textId="77777777" w:rsidTr="008D6B3B">
        <w:tc>
          <w:tcPr>
            <w:tcW w:w="10598" w:type="dxa"/>
          </w:tcPr>
          <w:p w14:paraId="376A0187" w14:textId="77777777" w:rsidR="00DF335F" w:rsidRPr="00DF45C7" w:rsidRDefault="00DF335F" w:rsidP="008D6B3B">
            <w:pPr>
              <w:pStyle w:val="Paragraphestandard"/>
              <w:rPr>
                <w:rFonts w:ascii="Arial" w:hAnsi="Arial" w:cs="Arial"/>
                <w:color w:val="1A0945"/>
                <w:sz w:val="16"/>
                <w:szCs w:val="16"/>
              </w:rPr>
            </w:pPr>
            <w:bookmarkStart w:id="1" w:name="_Hlk532460478"/>
            <w:r w:rsidRPr="00DF45C7">
              <w:rPr>
                <w:rFonts w:ascii="Arial" w:hAnsi="Arial" w:cs="Arial"/>
                <w:color w:val="1A0945"/>
                <w:sz w:val="16"/>
                <w:szCs w:val="16"/>
              </w:rPr>
              <w:t>A2 Consulting est un cabinet de conseil indépendant en organisation et en management</w:t>
            </w:r>
            <w:r>
              <w:rPr>
                <w:rFonts w:ascii="Arial" w:hAnsi="Arial" w:cs="Arial"/>
                <w:color w:val="1A0945"/>
                <w:sz w:val="16"/>
                <w:szCs w:val="16"/>
              </w:rPr>
              <w:t>, dont le dirigeant fondateur, Jacques SCHRAMM, a présidé de 2013 à 2018 les travaux internationaux d’élaboration de la norme ISO 20400.</w:t>
            </w:r>
          </w:p>
          <w:p w14:paraId="78C97540" w14:textId="77777777" w:rsidR="00DF335F" w:rsidRPr="00DF45C7" w:rsidRDefault="00DF335F" w:rsidP="008D6B3B">
            <w:pPr>
              <w:pStyle w:val="Paragraphestandard"/>
              <w:rPr>
                <w:rFonts w:ascii="Arial" w:hAnsi="Arial" w:cs="Arial"/>
                <w:color w:val="1A0945"/>
                <w:sz w:val="16"/>
                <w:szCs w:val="16"/>
              </w:rPr>
            </w:pPr>
            <w:r w:rsidRPr="00DF45C7">
              <w:rPr>
                <w:rFonts w:ascii="Arial" w:hAnsi="Arial" w:cs="Arial"/>
                <w:color w:val="1A0945"/>
                <w:sz w:val="16"/>
                <w:szCs w:val="16"/>
              </w:rPr>
              <w:t>Fondé en 2000, A2 développe une vision innovante du conseil, notamment au travers d’une approche tridimensionnelle (métier / technique / méthodologique) et d’une démarche responsable. L’équipe A2, aujourd’hui constituée d’une centaine de collaborateurs, intervient principalement dans les secteurs de la Banque, de l’Assurance et Protection Sociale, de l’Industrie et des Services, sur des sujets de risque et conformité, relation client, transformation et conduite du changement, digital ou encore performance achats.</w:t>
            </w:r>
          </w:p>
          <w:p w14:paraId="4FB9DE3A" w14:textId="77777777" w:rsidR="00DF335F" w:rsidRDefault="00DF335F" w:rsidP="008D6B3B">
            <w:pPr>
              <w:rPr>
                <w:rFonts w:ascii="Arial" w:hAnsi="Arial" w:cs="Arial"/>
                <w:color w:val="1A0945"/>
                <w:sz w:val="16"/>
                <w:szCs w:val="16"/>
              </w:rPr>
            </w:pPr>
            <w:r w:rsidRPr="00DF45C7">
              <w:rPr>
                <w:rFonts w:ascii="Arial" w:hAnsi="Arial" w:cs="Arial"/>
                <w:color w:val="1A0945"/>
                <w:sz w:val="16"/>
                <w:szCs w:val="16"/>
              </w:rPr>
              <w:t xml:space="preserve">Début 2018, fort de résultats très satisfaisants et d’une volonté d’accompagner ses clients dans tous leurs projets, A2 réalise une prise de participation dans l’agence digitale Kernix. L’offre de conseil d’A2 est désormais enrichie de capacités en </w:t>
            </w:r>
            <w:r w:rsidRPr="00DF45C7">
              <w:rPr>
                <w:rFonts w:ascii="Arial" w:hAnsi="Arial" w:cs="Arial"/>
                <w:i/>
                <w:iCs/>
                <w:color w:val="1A0945"/>
                <w:sz w:val="16"/>
                <w:szCs w:val="16"/>
              </w:rPr>
              <w:t>data science</w:t>
            </w:r>
            <w:r w:rsidRPr="00DF45C7">
              <w:rPr>
                <w:rFonts w:ascii="Arial" w:hAnsi="Arial" w:cs="Arial"/>
                <w:color w:val="1A0945"/>
                <w:sz w:val="16"/>
                <w:szCs w:val="16"/>
              </w:rPr>
              <w:t>, en marketing digital et en développement d’outils technologiques.</w:t>
            </w:r>
          </w:p>
          <w:p w14:paraId="63A416F4" w14:textId="2649FDA1" w:rsidR="005110EB" w:rsidRPr="00DF45C7" w:rsidRDefault="005110EB" w:rsidP="008D6B3B">
            <w:pPr>
              <w:rPr>
                <w:rFonts w:ascii="Arial" w:hAnsi="Arial" w:cs="Arial"/>
                <w:color w:val="1A0945"/>
                <w:sz w:val="16"/>
                <w:szCs w:val="16"/>
              </w:rPr>
            </w:pPr>
            <w:r w:rsidRPr="005110EB">
              <w:rPr>
                <w:rFonts w:ascii="Arial" w:hAnsi="Arial" w:cs="Arial"/>
                <w:color w:val="1A0945"/>
                <w:sz w:val="16"/>
                <w:szCs w:val="16"/>
              </w:rPr>
              <w:t>A2 Consulting s’attache depuis de nombreuses années à appliquer en interne les bonnes pratiques RSE et achat responsable qu’elle a contribué à construire à l’extérieur (note EcoVadis : 79/100).</w:t>
            </w:r>
            <w:r>
              <w:rPr>
                <w:rFonts w:ascii="Arial" w:hAnsi="Arial" w:cs="Arial"/>
                <w:color w:val="1A0945"/>
                <w:sz w:val="16"/>
                <w:szCs w:val="16"/>
              </w:rPr>
              <w:t xml:space="preserve"> </w:t>
            </w:r>
            <w:hyperlink r:id="rId10" w:history="1">
              <w:r w:rsidRPr="009A06E1">
                <w:rPr>
                  <w:rStyle w:val="Lienhypertexte"/>
                  <w:rFonts w:ascii="Arial" w:hAnsi="Arial" w:cs="Arial"/>
                  <w:sz w:val="16"/>
                  <w:szCs w:val="16"/>
                </w:rPr>
                <w:t>www.a2consulting.fr</w:t>
              </w:r>
            </w:hyperlink>
            <w:r>
              <w:rPr>
                <w:rFonts w:ascii="Arial" w:hAnsi="Arial" w:cs="Arial"/>
                <w:color w:val="1A0945"/>
                <w:sz w:val="16"/>
                <w:szCs w:val="16"/>
              </w:rPr>
              <w:t xml:space="preserve"> </w:t>
            </w:r>
          </w:p>
        </w:tc>
      </w:tr>
      <w:bookmarkEnd w:id="1"/>
    </w:tbl>
    <w:p w14:paraId="1CC7FE03" w14:textId="5824C55D" w:rsidR="00DF335F" w:rsidRDefault="00DF335F" w:rsidP="00DF335F">
      <w:pPr>
        <w:rPr>
          <w:rFonts w:ascii="Arial" w:hAnsi="Arial" w:cs="Arial"/>
        </w:rPr>
      </w:pPr>
    </w:p>
    <w:tbl>
      <w:tblPr>
        <w:tblStyle w:val="Grilledutableau"/>
        <w:tblW w:w="0" w:type="auto"/>
        <w:tblBorders>
          <w:top w:val="single" w:sz="4" w:space="0" w:color="1A0945"/>
          <w:left w:val="single" w:sz="4" w:space="0" w:color="1A0945"/>
          <w:bottom w:val="single" w:sz="4" w:space="0" w:color="1A0945"/>
          <w:right w:val="single" w:sz="4" w:space="0" w:color="1A0945"/>
          <w:insideH w:val="single" w:sz="4" w:space="0" w:color="1A0945"/>
          <w:insideV w:val="single" w:sz="4" w:space="0" w:color="1A0945"/>
        </w:tblBorders>
        <w:tblCellMar>
          <w:top w:w="227" w:type="dxa"/>
          <w:left w:w="227" w:type="dxa"/>
          <w:bottom w:w="227" w:type="dxa"/>
          <w:right w:w="227" w:type="dxa"/>
        </w:tblCellMar>
        <w:tblLook w:val="04A0" w:firstRow="1" w:lastRow="0" w:firstColumn="1" w:lastColumn="0" w:noHBand="0" w:noVBand="1"/>
      </w:tblPr>
      <w:tblGrid>
        <w:gridCol w:w="10456"/>
      </w:tblGrid>
      <w:tr w:rsidR="005110EB" w:rsidRPr="00DF45C7" w14:paraId="3ACE3375" w14:textId="77777777" w:rsidTr="008D6B3B">
        <w:tc>
          <w:tcPr>
            <w:tcW w:w="10598" w:type="dxa"/>
          </w:tcPr>
          <w:p w14:paraId="662C903A" w14:textId="77777777" w:rsidR="005110EB" w:rsidRDefault="005110EB" w:rsidP="008D6B3B">
            <w:pPr>
              <w:rPr>
                <w:rFonts w:ascii="Arial" w:hAnsi="Arial" w:cs="Arial"/>
                <w:color w:val="1A0945"/>
                <w:sz w:val="16"/>
                <w:szCs w:val="16"/>
              </w:rPr>
            </w:pPr>
            <w:r w:rsidRPr="005110EB">
              <w:rPr>
                <w:rFonts w:ascii="Arial" w:hAnsi="Arial" w:cs="Arial"/>
                <w:b/>
                <w:bCs/>
                <w:color w:val="1A0945"/>
                <w:sz w:val="16"/>
                <w:szCs w:val="16"/>
              </w:rPr>
              <w:lastRenderedPageBreak/>
              <w:t>Le Forum pour l’Investissement Responsable</w:t>
            </w:r>
            <w:r w:rsidRPr="005110EB">
              <w:rPr>
                <w:rFonts w:ascii="Arial" w:hAnsi="Arial" w:cs="Arial"/>
                <w:color w:val="1A0945"/>
                <w:sz w:val="16"/>
                <w:szCs w:val="16"/>
              </w:rPr>
              <w:t xml:space="preserve"> (FIR) est une association multi-parties-prenantes fondée en 2001 qui a pour objet de promouvoir et de développer l’ISR, l’Investissement Socialement Responsable. Le FIR regroupe l'ensemble des acteurs de l’ISR : investisseurs, sociétés de gestion, intermédiaires financiers, agences de notations extra-financières, conseils investisseurs, organisations de place, syndicats, </w:t>
            </w:r>
            <w:proofErr w:type="spellStart"/>
            <w:r w:rsidRPr="005110EB">
              <w:rPr>
                <w:rFonts w:ascii="Arial" w:hAnsi="Arial" w:cs="Arial"/>
                <w:color w:val="1A0945"/>
                <w:sz w:val="16"/>
                <w:szCs w:val="16"/>
              </w:rPr>
              <w:t>ONGs</w:t>
            </w:r>
            <w:proofErr w:type="spellEnd"/>
            <w:r w:rsidRPr="005110EB">
              <w:rPr>
                <w:rFonts w:ascii="Arial" w:hAnsi="Arial" w:cs="Arial"/>
                <w:color w:val="1A0945"/>
                <w:sz w:val="16"/>
                <w:szCs w:val="16"/>
              </w:rPr>
              <w:t>, associations ainsi que des personnalités qualifiées : avocats, universitaires...</w:t>
            </w:r>
          </w:p>
          <w:p w14:paraId="19D5F64E" w14:textId="77777777" w:rsidR="005110EB" w:rsidRDefault="005110EB" w:rsidP="008D6B3B">
            <w:pPr>
              <w:rPr>
                <w:rFonts w:ascii="Arial" w:hAnsi="Arial" w:cs="Arial"/>
                <w:color w:val="1A0945"/>
                <w:sz w:val="16"/>
                <w:szCs w:val="16"/>
              </w:rPr>
            </w:pPr>
            <w:r w:rsidRPr="005110EB">
              <w:rPr>
                <w:rFonts w:ascii="Arial" w:hAnsi="Arial" w:cs="Arial"/>
                <w:color w:val="1A0945"/>
                <w:sz w:val="16"/>
                <w:szCs w:val="16"/>
              </w:rPr>
              <w:t xml:space="preserve">Chaque année, le FIR avec les Principles for </w:t>
            </w:r>
            <w:proofErr w:type="spellStart"/>
            <w:r w:rsidRPr="005110EB">
              <w:rPr>
                <w:rFonts w:ascii="Arial" w:hAnsi="Arial" w:cs="Arial"/>
                <w:color w:val="1A0945"/>
                <w:sz w:val="16"/>
                <w:szCs w:val="16"/>
              </w:rPr>
              <w:t>Responsible</w:t>
            </w:r>
            <w:proofErr w:type="spellEnd"/>
            <w:r w:rsidRPr="005110EB">
              <w:rPr>
                <w:rFonts w:ascii="Arial" w:hAnsi="Arial" w:cs="Arial"/>
                <w:color w:val="1A0945"/>
                <w:sz w:val="16"/>
                <w:szCs w:val="16"/>
              </w:rPr>
              <w:t xml:space="preserve"> Investment (PRI) remet les Prix « Finance et développement durable » aux meilleurs travaux universitaires européens. En 2010, le FIR a lancé </w:t>
            </w:r>
            <w:proofErr w:type="spellStart"/>
            <w:r w:rsidRPr="005110EB">
              <w:rPr>
                <w:rFonts w:ascii="Arial" w:hAnsi="Arial" w:cs="Arial"/>
                <w:color w:val="1A0945"/>
                <w:sz w:val="16"/>
                <w:szCs w:val="16"/>
              </w:rPr>
              <w:t>CorDial</w:t>
            </w:r>
            <w:proofErr w:type="spellEnd"/>
            <w:r w:rsidRPr="005110EB">
              <w:rPr>
                <w:rFonts w:ascii="Arial" w:hAnsi="Arial" w:cs="Arial"/>
                <w:color w:val="1A0945"/>
                <w:sz w:val="16"/>
                <w:szCs w:val="16"/>
              </w:rPr>
              <w:t xml:space="preserve">, une plateforme de dialogue avec les entreprises cotées sur les questions de développement durable. </w:t>
            </w:r>
          </w:p>
          <w:p w14:paraId="74F374A1" w14:textId="340E0B58" w:rsidR="005110EB" w:rsidRPr="00DF45C7" w:rsidRDefault="005110EB" w:rsidP="008D6B3B">
            <w:pPr>
              <w:rPr>
                <w:rFonts w:ascii="Arial" w:hAnsi="Arial" w:cs="Arial"/>
                <w:color w:val="1A0945"/>
                <w:sz w:val="16"/>
                <w:szCs w:val="16"/>
              </w:rPr>
            </w:pPr>
            <w:r w:rsidRPr="005110EB">
              <w:rPr>
                <w:rFonts w:ascii="Arial" w:hAnsi="Arial" w:cs="Arial"/>
                <w:color w:val="1A0945"/>
                <w:sz w:val="16"/>
                <w:szCs w:val="16"/>
              </w:rPr>
              <w:t xml:space="preserve">Le Forum est également le promoteur de la Semaine de la finance responsable qui se tient chaque année à l’automne.  Avec l’Association Française de Gestion financière – et </w:t>
            </w:r>
            <w:proofErr w:type="spellStart"/>
            <w:r w:rsidRPr="005110EB">
              <w:rPr>
                <w:rFonts w:ascii="Arial" w:hAnsi="Arial" w:cs="Arial"/>
                <w:color w:val="1A0945"/>
                <w:sz w:val="16"/>
                <w:szCs w:val="16"/>
              </w:rPr>
              <w:t>Eurosif</w:t>
            </w:r>
            <w:proofErr w:type="spellEnd"/>
            <w:r w:rsidRPr="005110EB">
              <w:rPr>
                <w:rFonts w:ascii="Arial" w:hAnsi="Arial" w:cs="Arial"/>
                <w:color w:val="1A0945"/>
                <w:sz w:val="16"/>
                <w:szCs w:val="16"/>
              </w:rPr>
              <w:t>, le FIR est l’un des auteurs et des promoteurs du Code de transparence pour les fonds ouverts. Le FIR est l’un des membres fondateurs d’</w:t>
            </w:r>
            <w:proofErr w:type="spellStart"/>
            <w:r w:rsidRPr="005110EB">
              <w:rPr>
                <w:rFonts w:ascii="Arial" w:hAnsi="Arial" w:cs="Arial"/>
                <w:color w:val="1A0945"/>
                <w:sz w:val="16"/>
                <w:szCs w:val="16"/>
              </w:rPr>
              <w:t>Eurosif</w:t>
            </w:r>
            <w:proofErr w:type="spellEnd"/>
            <w:r w:rsidRPr="005110EB">
              <w:rPr>
                <w:rFonts w:ascii="Arial" w:hAnsi="Arial" w:cs="Arial"/>
                <w:color w:val="1A0945"/>
                <w:sz w:val="16"/>
                <w:szCs w:val="16"/>
              </w:rPr>
              <w:t xml:space="preserve">. </w:t>
            </w:r>
            <w:hyperlink r:id="rId11" w:tgtFrame="_blank" w:history="1">
              <w:r w:rsidRPr="005110EB">
                <w:rPr>
                  <w:rStyle w:val="Lienhypertexte"/>
                  <w:rFonts w:ascii="Arial" w:hAnsi="Arial" w:cs="Arial"/>
                  <w:sz w:val="16"/>
                  <w:szCs w:val="16"/>
                </w:rPr>
                <w:t>www.frenchsif.org</w:t>
              </w:r>
            </w:hyperlink>
          </w:p>
        </w:tc>
      </w:tr>
    </w:tbl>
    <w:p w14:paraId="15B459F4" w14:textId="77777777" w:rsidR="005110EB" w:rsidRPr="00DF45C7" w:rsidRDefault="005110EB" w:rsidP="00DF335F">
      <w:pPr>
        <w:rPr>
          <w:rFonts w:ascii="Arial" w:hAnsi="Arial" w:cs="Arial"/>
        </w:rPr>
      </w:pPr>
    </w:p>
    <w:p w14:paraId="3DAB50E7" w14:textId="77777777" w:rsidR="005110EB" w:rsidRDefault="00DF335F" w:rsidP="00DF335F">
      <w:pPr>
        <w:rPr>
          <w:rFonts w:ascii="Arial" w:hAnsi="Arial" w:cs="Arial"/>
        </w:rPr>
      </w:pPr>
      <w:r w:rsidRPr="00DF45C7">
        <w:rPr>
          <w:rFonts w:ascii="Arial" w:hAnsi="Arial" w:cs="Arial"/>
          <w:b/>
        </w:rPr>
        <w:t>Contact</w:t>
      </w:r>
      <w:r w:rsidR="005110EB">
        <w:rPr>
          <w:rFonts w:ascii="Arial" w:hAnsi="Arial" w:cs="Arial"/>
          <w:b/>
        </w:rPr>
        <w:t>s</w:t>
      </w:r>
      <w:r w:rsidRPr="00DF45C7">
        <w:rPr>
          <w:rFonts w:ascii="Arial" w:hAnsi="Arial" w:cs="Arial"/>
        </w:rPr>
        <w:t xml:space="preserve"> : </w:t>
      </w:r>
    </w:p>
    <w:p w14:paraId="659357B8" w14:textId="7D2A91C6" w:rsidR="0035330F" w:rsidRPr="005110EB" w:rsidRDefault="005110EB" w:rsidP="00DF335F">
      <w:pPr>
        <w:rPr>
          <w:sz w:val="28"/>
        </w:rPr>
      </w:pPr>
      <w:r w:rsidRPr="005110EB">
        <w:rPr>
          <w:rStyle w:val="lev"/>
          <w:rFonts w:ascii="Arial" w:eastAsia="Times New Roman" w:hAnsi="Arial" w:cs="Arial"/>
          <w:color w:val="606060"/>
          <w:szCs w:val="18"/>
        </w:rPr>
        <w:t>A2 Consulting :</w:t>
      </w:r>
      <w:r w:rsidRPr="005110EB">
        <w:rPr>
          <w:rFonts w:ascii="Arial" w:eastAsia="Times New Roman" w:hAnsi="Arial" w:cs="Arial"/>
          <w:color w:val="606060"/>
          <w:szCs w:val="18"/>
        </w:rPr>
        <w:t xml:space="preserve"> Patrick </w:t>
      </w:r>
      <w:proofErr w:type="spellStart"/>
      <w:r w:rsidRPr="005110EB">
        <w:rPr>
          <w:rFonts w:ascii="Arial" w:eastAsia="Times New Roman" w:hAnsi="Arial" w:cs="Arial"/>
          <w:color w:val="606060"/>
          <w:szCs w:val="18"/>
        </w:rPr>
        <w:t>Viallanex</w:t>
      </w:r>
      <w:proofErr w:type="spellEnd"/>
      <w:r w:rsidRPr="005110EB">
        <w:rPr>
          <w:rFonts w:ascii="Arial" w:eastAsia="Times New Roman" w:hAnsi="Arial" w:cs="Arial"/>
          <w:color w:val="606060"/>
          <w:szCs w:val="18"/>
        </w:rPr>
        <w:t xml:space="preserve"> - 06 72 93 35 87 - </w:t>
      </w:r>
      <w:hyperlink r:id="rId12" w:history="1">
        <w:r w:rsidRPr="005110EB">
          <w:rPr>
            <w:rStyle w:val="Lienhypertexte"/>
            <w:rFonts w:ascii="Arial" w:eastAsia="Times New Roman" w:hAnsi="Arial" w:cs="Arial"/>
            <w:szCs w:val="18"/>
          </w:rPr>
          <w:t>patrick.viallanex@a2consulting.fr</w:t>
        </w:r>
      </w:hyperlink>
      <w:r w:rsidRPr="005110EB">
        <w:rPr>
          <w:rFonts w:ascii="Arial" w:eastAsia="Times New Roman" w:hAnsi="Arial" w:cs="Arial"/>
          <w:color w:val="606060"/>
          <w:szCs w:val="18"/>
        </w:rPr>
        <w:br/>
      </w:r>
      <w:r w:rsidRPr="005110EB">
        <w:rPr>
          <w:rStyle w:val="lev"/>
          <w:rFonts w:ascii="Arial" w:eastAsia="Times New Roman" w:hAnsi="Arial" w:cs="Arial"/>
          <w:color w:val="606060"/>
          <w:szCs w:val="18"/>
        </w:rPr>
        <w:t>FIR</w:t>
      </w:r>
      <w:r w:rsidRPr="005110EB">
        <w:rPr>
          <w:rFonts w:ascii="Arial" w:eastAsia="Times New Roman" w:hAnsi="Arial" w:cs="Arial"/>
          <w:color w:val="606060"/>
          <w:szCs w:val="18"/>
        </w:rPr>
        <w:t xml:space="preserve"> : Grégoire </w:t>
      </w:r>
      <w:proofErr w:type="spellStart"/>
      <w:r w:rsidRPr="005110EB">
        <w:rPr>
          <w:rFonts w:ascii="Arial" w:eastAsia="Times New Roman" w:hAnsi="Arial" w:cs="Arial"/>
          <w:color w:val="606060"/>
          <w:szCs w:val="18"/>
        </w:rPr>
        <w:t>Cousté</w:t>
      </w:r>
      <w:proofErr w:type="spellEnd"/>
      <w:r w:rsidRPr="005110EB">
        <w:rPr>
          <w:rFonts w:ascii="Arial" w:eastAsia="Times New Roman" w:hAnsi="Arial" w:cs="Arial"/>
          <w:color w:val="606060"/>
          <w:szCs w:val="18"/>
        </w:rPr>
        <w:t xml:space="preserve"> - 06 65 00 57 75 - </w:t>
      </w:r>
      <w:hyperlink r:id="rId13" w:history="1">
        <w:r w:rsidRPr="005110EB">
          <w:rPr>
            <w:rStyle w:val="Lienhypertexte"/>
            <w:rFonts w:ascii="Arial" w:eastAsia="Times New Roman" w:hAnsi="Arial" w:cs="Arial"/>
            <w:szCs w:val="18"/>
          </w:rPr>
          <w:t>gregoire.couste@frenchsif.org</w:t>
        </w:r>
      </w:hyperlink>
    </w:p>
    <w:sectPr w:rsidR="0035330F" w:rsidRPr="005110EB" w:rsidSect="00031302">
      <w:headerReference w:type="default" r:id="rId14"/>
      <w:footerReference w:type="default" r:id="rId15"/>
      <w:pgSz w:w="11906" w:h="16838"/>
      <w:pgMar w:top="2127" w:right="720" w:bottom="198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00523" w14:textId="77777777" w:rsidR="00E60639" w:rsidRDefault="00E60639" w:rsidP="00DF335F">
      <w:pPr>
        <w:spacing w:after="0" w:line="240" w:lineRule="auto"/>
      </w:pPr>
      <w:r>
        <w:separator/>
      </w:r>
    </w:p>
  </w:endnote>
  <w:endnote w:type="continuationSeparator" w:id="0">
    <w:p w14:paraId="5EB103B0" w14:textId="77777777" w:rsidR="00E60639" w:rsidRDefault="00E60639" w:rsidP="00DF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119B" w14:textId="77777777" w:rsidR="009C3746" w:rsidRPr="00CD0E09" w:rsidRDefault="00877A65" w:rsidP="002B7E8A">
    <w:pPr>
      <w:pStyle w:val="Pieddepage"/>
      <w:jc w:val="center"/>
      <w:rPr>
        <w:rFonts w:ascii="Arial" w:hAnsi="Arial" w:cs="Arial"/>
        <w:color w:val="1A0945"/>
        <w:sz w:val="18"/>
        <w:szCs w:val="20"/>
      </w:rPr>
    </w:pPr>
    <w:r>
      <w:rPr>
        <w:rFonts w:ascii="Arial" w:hAnsi="Arial" w:cs="Arial"/>
        <w:b/>
        <w:color w:val="0D0F49"/>
        <w:sz w:val="18"/>
        <w:szCs w:val="20"/>
      </w:rPr>
      <w:t xml:space="preserve">© </w:t>
    </w:r>
    <w:r w:rsidRPr="0042437C">
      <w:rPr>
        <w:rFonts w:ascii="Arial" w:hAnsi="Arial" w:cs="Arial"/>
        <w:b/>
        <w:color w:val="0D0F49"/>
        <w:sz w:val="18"/>
        <w:szCs w:val="20"/>
      </w:rPr>
      <w:t xml:space="preserve">A2 </w:t>
    </w:r>
    <w:r w:rsidRPr="00CD0E09">
      <w:rPr>
        <w:rFonts w:ascii="Arial" w:hAnsi="Arial" w:cs="Arial"/>
        <w:b/>
        <w:color w:val="1A0945"/>
        <w:sz w:val="18"/>
        <w:szCs w:val="20"/>
      </w:rPr>
      <w:t>Consulting</w:t>
    </w:r>
    <w:r w:rsidRPr="00CD0E09">
      <w:rPr>
        <w:rFonts w:ascii="Arial" w:hAnsi="Arial" w:cs="Arial"/>
        <w:color w:val="1A0945"/>
        <w:sz w:val="18"/>
        <w:szCs w:val="20"/>
      </w:rPr>
      <w:t xml:space="preserve"> - 14, rue d’Ouessant, 75015 PARIS</w:t>
    </w:r>
  </w:p>
  <w:p w14:paraId="02E046D9" w14:textId="77777777" w:rsidR="009C3746" w:rsidRPr="00CD0E09" w:rsidRDefault="00877A65" w:rsidP="002B7E8A">
    <w:pPr>
      <w:pStyle w:val="Pieddepage"/>
      <w:jc w:val="center"/>
      <w:rPr>
        <w:rFonts w:ascii="Arial" w:hAnsi="Arial" w:cs="Arial"/>
        <w:color w:val="1A0945"/>
        <w:sz w:val="18"/>
        <w:szCs w:val="20"/>
      </w:rPr>
    </w:pPr>
    <w:r w:rsidRPr="00CD0E09">
      <w:rPr>
        <w:rFonts w:ascii="Arial" w:hAnsi="Arial" w:cs="Arial"/>
        <w:color w:val="1A0945"/>
        <w:sz w:val="18"/>
        <w:szCs w:val="20"/>
      </w:rPr>
      <w:t xml:space="preserve">Tél. : 01 78 09 88 00 - </w:t>
    </w:r>
    <w:proofErr w:type="gramStart"/>
    <w:r w:rsidRPr="00CD0E09">
      <w:rPr>
        <w:rFonts w:ascii="Arial" w:hAnsi="Arial" w:cs="Arial"/>
        <w:color w:val="1A0945"/>
        <w:sz w:val="18"/>
        <w:szCs w:val="20"/>
      </w:rPr>
      <w:t>E-mail</w:t>
    </w:r>
    <w:proofErr w:type="gramEnd"/>
    <w:r w:rsidRPr="00CD0E09">
      <w:rPr>
        <w:rFonts w:ascii="Arial" w:hAnsi="Arial" w:cs="Arial"/>
        <w:color w:val="1A0945"/>
        <w:sz w:val="18"/>
        <w:szCs w:val="20"/>
      </w:rPr>
      <w:t xml:space="preserve"> : </w:t>
    </w:r>
    <w:hyperlink r:id="rId1" w:history="1">
      <w:r w:rsidRPr="00CD0E09">
        <w:rPr>
          <w:rStyle w:val="Lienhypertexte"/>
          <w:rFonts w:ascii="Arial" w:hAnsi="Arial" w:cs="Arial"/>
          <w:color w:val="1A0945"/>
          <w:sz w:val="18"/>
          <w:szCs w:val="20"/>
        </w:rPr>
        <w:t xml:space="preserve">info@a2consulting.fr </w:t>
      </w:r>
    </w:hyperlink>
  </w:p>
  <w:p w14:paraId="710A96A5" w14:textId="77777777" w:rsidR="009C3746" w:rsidRPr="00CD0E09" w:rsidRDefault="00877A65" w:rsidP="00140FBF">
    <w:pPr>
      <w:pStyle w:val="Pieddepage"/>
      <w:jc w:val="center"/>
      <w:rPr>
        <w:rFonts w:ascii="Arial" w:hAnsi="Arial" w:cs="Arial"/>
        <w:color w:val="1A0945"/>
        <w:sz w:val="16"/>
        <w:szCs w:val="18"/>
      </w:rPr>
    </w:pPr>
    <w:r w:rsidRPr="00CD0E09">
      <w:rPr>
        <w:rFonts w:ascii="Arial" w:hAnsi="Arial" w:cs="Arial"/>
        <w:color w:val="1A0945"/>
        <w:sz w:val="16"/>
        <w:szCs w:val="18"/>
      </w:rPr>
      <w:t>SAS au capital de 62 100 € - RCS Paris - SIRET 431 476 001 00034</w:t>
    </w:r>
  </w:p>
  <w:p w14:paraId="3E423167" w14:textId="77777777" w:rsidR="009C3746" w:rsidRPr="00CD0E09" w:rsidRDefault="00E60639" w:rsidP="00140FBF">
    <w:pPr>
      <w:pStyle w:val="Pieddepage"/>
      <w:jc w:val="center"/>
      <w:rPr>
        <w:rFonts w:ascii="Arial" w:hAnsi="Arial" w:cs="Arial"/>
        <w:color w:val="1A0945"/>
        <w:sz w:val="18"/>
        <w:szCs w:val="18"/>
      </w:rPr>
    </w:pPr>
    <w:hyperlink r:id="rId2" w:history="1">
      <w:r w:rsidR="00877A65" w:rsidRPr="00CD0E09">
        <w:rPr>
          <w:rStyle w:val="Lienhypertexte"/>
          <w:rFonts w:ascii="Arial" w:hAnsi="Arial" w:cs="Arial"/>
          <w:color w:val="1A0945"/>
          <w:sz w:val="18"/>
          <w:szCs w:val="18"/>
        </w:rPr>
        <w:t>www.a2consulting.fr</w:t>
      </w:r>
    </w:hyperlink>
    <w:r w:rsidR="00877A65" w:rsidRPr="00CD0E09">
      <w:rPr>
        <w:rFonts w:ascii="Arial" w:hAnsi="Arial" w:cs="Arial"/>
        <w:color w:val="1A0945"/>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8ADB0" w14:textId="77777777" w:rsidR="00E60639" w:rsidRDefault="00E60639" w:rsidP="00DF335F">
      <w:pPr>
        <w:spacing w:after="0" w:line="240" w:lineRule="auto"/>
      </w:pPr>
      <w:r>
        <w:separator/>
      </w:r>
    </w:p>
  </w:footnote>
  <w:footnote w:type="continuationSeparator" w:id="0">
    <w:p w14:paraId="4A590CDB" w14:textId="77777777" w:rsidR="00E60639" w:rsidRDefault="00E60639" w:rsidP="00DF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389E" w14:textId="77777777" w:rsidR="009C3746" w:rsidRDefault="00877A65">
    <w:pPr>
      <w:pStyle w:val="En-tte"/>
    </w:pPr>
    <w:r>
      <w:rPr>
        <w:noProof/>
        <w:lang w:eastAsia="fr-FR"/>
      </w:rPr>
      <w:drawing>
        <wp:inline distT="0" distB="0" distL="0" distR="0" wp14:anchorId="7692310F" wp14:editId="51432DA7">
          <wp:extent cx="4853940" cy="866775"/>
          <wp:effectExtent l="0" t="0" r="381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2Consulting_logo_vect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61109" cy="868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F7718"/>
    <w:multiLevelType w:val="hybridMultilevel"/>
    <w:tmpl w:val="F2204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0C"/>
    <w:rsid w:val="002E705E"/>
    <w:rsid w:val="00313E37"/>
    <w:rsid w:val="00314337"/>
    <w:rsid w:val="0035330F"/>
    <w:rsid w:val="003B607C"/>
    <w:rsid w:val="00455D79"/>
    <w:rsid w:val="004C589B"/>
    <w:rsid w:val="005110EB"/>
    <w:rsid w:val="0063060C"/>
    <w:rsid w:val="006A27ED"/>
    <w:rsid w:val="006A37B8"/>
    <w:rsid w:val="00722777"/>
    <w:rsid w:val="00822F24"/>
    <w:rsid w:val="00877A65"/>
    <w:rsid w:val="009C24EF"/>
    <w:rsid w:val="00A3210C"/>
    <w:rsid w:val="00AE17BC"/>
    <w:rsid w:val="00CC66A9"/>
    <w:rsid w:val="00D85E02"/>
    <w:rsid w:val="00D97997"/>
    <w:rsid w:val="00DF335F"/>
    <w:rsid w:val="00E52526"/>
    <w:rsid w:val="00E60639"/>
    <w:rsid w:val="00E87469"/>
    <w:rsid w:val="00FC44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42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060C"/>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060C"/>
    <w:rPr>
      <w:sz w:val="22"/>
      <w:szCs w:val="22"/>
    </w:rPr>
  </w:style>
  <w:style w:type="character" w:styleId="Lienhypertexte">
    <w:name w:val="Hyperlink"/>
    <w:basedOn w:val="Policepardfaut"/>
    <w:uiPriority w:val="99"/>
    <w:unhideWhenUsed/>
    <w:rsid w:val="00313E37"/>
    <w:rPr>
      <w:color w:val="0563C1" w:themeColor="hyperlink"/>
      <w:u w:val="single"/>
    </w:rPr>
  </w:style>
  <w:style w:type="paragraph" w:styleId="Paragraphedeliste">
    <w:name w:val="List Paragraph"/>
    <w:basedOn w:val="Normal"/>
    <w:uiPriority w:val="34"/>
    <w:qFormat/>
    <w:rsid w:val="00AE17BC"/>
    <w:pPr>
      <w:ind w:left="720"/>
      <w:contextualSpacing/>
    </w:pPr>
  </w:style>
  <w:style w:type="paragraph" w:styleId="Textedebulles">
    <w:name w:val="Balloon Text"/>
    <w:basedOn w:val="Normal"/>
    <w:link w:val="TextedebullesCar"/>
    <w:uiPriority w:val="99"/>
    <w:semiHidden/>
    <w:unhideWhenUsed/>
    <w:rsid w:val="00A321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10C"/>
    <w:rPr>
      <w:rFonts w:ascii="Segoe UI" w:hAnsi="Segoe UI" w:cs="Segoe UI"/>
      <w:sz w:val="18"/>
      <w:szCs w:val="18"/>
    </w:rPr>
  </w:style>
  <w:style w:type="paragraph" w:styleId="En-tte">
    <w:name w:val="header"/>
    <w:basedOn w:val="Normal"/>
    <w:link w:val="En-tteCar"/>
    <w:uiPriority w:val="99"/>
    <w:unhideWhenUsed/>
    <w:rsid w:val="00DF335F"/>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DF335F"/>
    <w:rPr>
      <w:rFonts w:ascii="Calibri" w:eastAsia="Calibri" w:hAnsi="Calibri" w:cs="Times New Roman"/>
      <w:sz w:val="22"/>
      <w:szCs w:val="22"/>
    </w:rPr>
  </w:style>
  <w:style w:type="paragraph" w:styleId="Pieddepage">
    <w:name w:val="footer"/>
    <w:basedOn w:val="Normal"/>
    <w:link w:val="PieddepageCar"/>
    <w:uiPriority w:val="99"/>
    <w:unhideWhenUsed/>
    <w:rsid w:val="00DF335F"/>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DF335F"/>
    <w:rPr>
      <w:rFonts w:ascii="Calibri" w:eastAsia="Calibri" w:hAnsi="Calibri" w:cs="Times New Roman"/>
      <w:sz w:val="22"/>
      <w:szCs w:val="22"/>
    </w:rPr>
  </w:style>
  <w:style w:type="table" w:styleId="Grilledutableau">
    <w:name w:val="Table Grid"/>
    <w:basedOn w:val="TableauNormal"/>
    <w:uiPriority w:val="39"/>
    <w:rsid w:val="00DF33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DF335F"/>
    <w:pPr>
      <w:autoSpaceDE w:val="0"/>
      <w:autoSpaceDN w:val="0"/>
      <w:spacing w:after="113" w:line="288" w:lineRule="auto"/>
      <w:jc w:val="both"/>
    </w:pPr>
    <w:rPr>
      <w:rFonts w:ascii="Lato Light" w:hAnsi="Lato Light" w:cs="Calibri"/>
      <w:color w:val="000000"/>
      <w:sz w:val="20"/>
      <w:szCs w:val="20"/>
    </w:rPr>
  </w:style>
  <w:style w:type="character" w:styleId="Mentionnonrsolue">
    <w:name w:val="Unresolved Mention"/>
    <w:basedOn w:val="Policepardfaut"/>
    <w:uiPriority w:val="99"/>
    <w:rsid w:val="005110EB"/>
    <w:rPr>
      <w:color w:val="605E5C"/>
      <w:shd w:val="clear" w:color="auto" w:fill="E1DFDD"/>
    </w:rPr>
  </w:style>
  <w:style w:type="character" w:styleId="lev">
    <w:name w:val="Strong"/>
    <w:basedOn w:val="Policepardfaut"/>
    <w:uiPriority w:val="22"/>
    <w:qFormat/>
    <w:rsid w:val="005110EB"/>
    <w:rPr>
      <w:b/>
      <w:bCs/>
    </w:rPr>
  </w:style>
  <w:style w:type="character" w:styleId="Lienhypertextesuivivisit">
    <w:name w:val="FollowedHyperlink"/>
    <w:basedOn w:val="Policepardfaut"/>
    <w:uiPriority w:val="99"/>
    <w:semiHidden/>
    <w:unhideWhenUsed/>
    <w:rsid w:val="00CC6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47508">
      <w:bodyDiv w:val="1"/>
      <w:marLeft w:val="0"/>
      <w:marRight w:val="0"/>
      <w:marTop w:val="0"/>
      <w:marBottom w:val="0"/>
      <w:divBdr>
        <w:top w:val="none" w:sz="0" w:space="0" w:color="auto"/>
        <w:left w:val="none" w:sz="0" w:space="0" w:color="auto"/>
        <w:bottom w:val="none" w:sz="0" w:space="0" w:color="auto"/>
        <w:right w:val="none" w:sz="0" w:space="0" w:color="auto"/>
      </w:divBdr>
      <w:divsChild>
        <w:div w:id="2037346959">
          <w:marLeft w:val="0"/>
          <w:marRight w:val="0"/>
          <w:marTop w:val="0"/>
          <w:marBottom w:val="0"/>
          <w:divBdr>
            <w:top w:val="none" w:sz="0" w:space="0" w:color="auto"/>
            <w:left w:val="none" w:sz="0" w:space="0" w:color="auto"/>
            <w:bottom w:val="none" w:sz="0" w:space="0" w:color="auto"/>
            <w:right w:val="none" w:sz="0" w:space="0" w:color="auto"/>
          </w:divBdr>
        </w:div>
        <w:div w:id="1980768978">
          <w:marLeft w:val="0"/>
          <w:marRight w:val="0"/>
          <w:marTop w:val="0"/>
          <w:marBottom w:val="0"/>
          <w:divBdr>
            <w:top w:val="none" w:sz="0" w:space="0" w:color="auto"/>
            <w:left w:val="none" w:sz="0" w:space="0" w:color="auto"/>
            <w:bottom w:val="none" w:sz="0" w:space="0" w:color="auto"/>
            <w:right w:val="none" w:sz="0" w:space="0" w:color="auto"/>
          </w:divBdr>
        </w:div>
        <w:div w:id="1432432023">
          <w:marLeft w:val="0"/>
          <w:marRight w:val="0"/>
          <w:marTop w:val="0"/>
          <w:marBottom w:val="0"/>
          <w:divBdr>
            <w:top w:val="none" w:sz="0" w:space="0" w:color="auto"/>
            <w:left w:val="none" w:sz="0" w:space="0" w:color="auto"/>
            <w:bottom w:val="none" w:sz="0" w:space="0" w:color="auto"/>
            <w:right w:val="none" w:sz="0" w:space="0" w:color="auto"/>
          </w:divBdr>
        </w:div>
        <w:div w:id="386077030">
          <w:marLeft w:val="0"/>
          <w:marRight w:val="0"/>
          <w:marTop w:val="0"/>
          <w:marBottom w:val="0"/>
          <w:divBdr>
            <w:top w:val="none" w:sz="0" w:space="0" w:color="auto"/>
            <w:left w:val="none" w:sz="0" w:space="0" w:color="auto"/>
            <w:bottom w:val="none" w:sz="0" w:space="0" w:color="auto"/>
            <w:right w:val="none" w:sz="0" w:space="0" w:color="auto"/>
          </w:divBdr>
        </w:div>
        <w:div w:id="1945454274">
          <w:marLeft w:val="0"/>
          <w:marRight w:val="0"/>
          <w:marTop w:val="0"/>
          <w:marBottom w:val="0"/>
          <w:divBdr>
            <w:top w:val="none" w:sz="0" w:space="0" w:color="auto"/>
            <w:left w:val="none" w:sz="0" w:space="0" w:color="auto"/>
            <w:bottom w:val="none" w:sz="0" w:space="0" w:color="auto"/>
            <w:right w:val="none" w:sz="0" w:space="0" w:color="auto"/>
          </w:divBdr>
        </w:div>
        <w:div w:id="740908123">
          <w:marLeft w:val="0"/>
          <w:marRight w:val="0"/>
          <w:marTop w:val="0"/>
          <w:marBottom w:val="0"/>
          <w:divBdr>
            <w:top w:val="none" w:sz="0" w:space="0" w:color="auto"/>
            <w:left w:val="none" w:sz="0" w:space="0" w:color="auto"/>
            <w:bottom w:val="none" w:sz="0" w:space="0" w:color="auto"/>
            <w:right w:val="none" w:sz="0" w:space="0" w:color="auto"/>
          </w:divBdr>
        </w:div>
        <w:div w:id="620650821">
          <w:marLeft w:val="0"/>
          <w:marRight w:val="0"/>
          <w:marTop w:val="0"/>
          <w:marBottom w:val="0"/>
          <w:divBdr>
            <w:top w:val="none" w:sz="0" w:space="0" w:color="auto"/>
            <w:left w:val="none" w:sz="0" w:space="0" w:color="auto"/>
            <w:bottom w:val="none" w:sz="0" w:space="0" w:color="auto"/>
            <w:right w:val="none" w:sz="0" w:space="0" w:color="auto"/>
          </w:divBdr>
        </w:div>
        <w:div w:id="719331201">
          <w:marLeft w:val="0"/>
          <w:marRight w:val="0"/>
          <w:marTop w:val="0"/>
          <w:marBottom w:val="0"/>
          <w:divBdr>
            <w:top w:val="none" w:sz="0" w:space="0" w:color="auto"/>
            <w:left w:val="none" w:sz="0" w:space="0" w:color="auto"/>
            <w:bottom w:val="none" w:sz="0" w:space="0" w:color="auto"/>
            <w:right w:val="none" w:sz="0" w:space="0" w:color="auto"/>
          </w:divBdr>
        </w:div>
        <w:div w:id="426730688">
          <w:marLeft w:val="0"/>
          <w:marRight w:val="0"/>
          <w:marTop w:val="0"/>
          <w:marBottom w:val="0"/>
          <w:divBdr>
            <w:top w:val="none" w:sz="0" w:space="0" w:color="auto"/>
            <w:left w:val="none" w:sz="0" w:space="0" w:color="auto"/>
            <w:bottom w:val="none" w:sz="0" w:space="0" w:color="auto"/>
            <w:right w:val="none" w:sz="0" w:space="0" w:color="auto"/>
          </w:divBdr>
        </w:div>
        <w:div w:id="1338579658">
          <w:marLeft w:val="0"/>
          <w:marRight w:val="0"/>
          <w:marTop w:val="0"/>
          <w:marBottom w:val="0"/>
          <w:divBdr>
            <w:top w:val="none" w:sz="0" w:space="0" w:color="auto"/>
            <w:left w:val="none" w:sz="0" w:space="0" w:color="auto"/>
            <w:bottom w:val="none" w:sz="0" w:space="0" w:color="auto"/>
            <w:right w:val="none" w:sz="0" w:space="0" w:color="auto"/>
          </w:divBdr>
        </w:div>
        <w:div w:id="984166582">
          <w:marLeft w:val="0"/>
          <w:marRight w:val="0"/>
          <w:marTop w:val="0"/>
          <w:marBottom w:val="0"/>
          <w:divBdr>
            <w:top w:val="none" w:sz="0" w:space="0" w:color="auto"/>
            <w:left w:val="none" w:sz="0" w:space="0" w:color="auto"/>
            <w:bottom w:val="none" w:sz="0" w:space="0" w:color="auto"/>
            <w:right w:val="none" w:sz="0" w:space="0" w:color="auto"/>
          </w:divBdr>
        </w:div>
        <w:div w:id="1103575942">
          <w:marLeft w:val="0"/>
          <w:marRight w:val="0"/>
          <w:marTop w:val="0"/>
          <w:marBottom w:val="0"/>
          <w:divBdr>
            <w:top w:val="none" w:sz="0" w:space="0" w:color="auto"/>
            <w:left w:val="none" w:sz="0" w:space="0" w:color="auto"/>
            <w:bottom w:val="none" w:sz="0" w:space="0" w:color="auto"/>
            <w:right w:val="none" w:sz="0" w:space="0" w:color="auto"/>
          </w:divBdr>
        </w:div>
        <w:div w:id="722603821">
          <w:marLeft w:val="0"/>
          <w:marRight w:val="0"/>
          <w:marTop w:val="0"/>
          <w:marBottom w:val="0"/>
          <w:divBdr>
            <w:top w:val="none" w:sz="0" w:space="0" w:color="auto"/>
            <w:left w:val="none" w:sz="0" w:space="0" w:color="auto"/>
            <w:bottom w:val="none" w:sz="0" w:space="0" w:color="auto"/>
            <w:right w:val="none" w:sz="0" w:space="0" w:color="auto"/>
          </w:divBdr>
        </w:div>
        <w:div w:id="1209412259">
          <w:marLeft w:val="0"/>
          <w:marRight w:val="0"/>
          <w:marTop w:val="0"/>
          <w:marBottom w:val="0"/>
          <w:divBdr>
            <w:top w:val="none" w:sz="0" w:space="0" w:color="auto"/>
            <w:left w:val="none" w:sz="0" w:space="0" w:color="auto"/>
            <w:bottom w:val="none" w:sz="0" w:space="0" w:color="auto"/>
            <w:right w:val="none" w:sz="0" w:space="0" w:color="auto"/>
          </w:divBdr>
        </w:div>
        <w:div w:id="1162429470">
          <w:marLeft w:val="0"/>
          <w:marRight w:val="0"/>
          <w:marTop w:val="0"/>
          <w:marBottom w:val="0"/>
          <w:divBdr>
            <w:top w:val="none" w:sz="0" w:space="0" w:color="auto"/>
            <w:left w:val="none" w:sz="0" w:space="0" w:color="auto"/>
            <w:bottom w:val="none" w:sz="0" w:space="0" w:color="auto"/>
            <w:right w:val="none" w:sz="0" w:space="0" w:color="auto"/>
          </w:divBdr>
        </w:div>
        <w:div w:id="1454179325">
          <w:marLeft w:val="0"/>
          <w:marRight w:val="0"/>
          <w:marTop w:val="0"/>
          <w:marBottom w:val="0"/>
          <w:divBdr>
            <w:top w:val="none" w:sz="0" w:space="0" w:color="auto"/>
            <w:left w:val="none" w:sz="0" w:space="0" w:color="auto"/>
            <w:bottom w:val="none" w:sz="0" w:space="0" w:color="auto"/>
            <w:right w:val="none" w:sz="0" w:space="0" w:color="auto"/>
          </w:divBdr>
        </w:div>
        <w:div w:id="112486592">
          <w:marLeft w:val="0"/>
          <w:marRight w:val="0"/>
          <w:marTop w:val="0"/>
          <w:marBottom w:val="0"/>
          <w:divBdr>
            <w:top w:val="none" w:sz="0" w:space="0" w:color="auto"/>
            <w:left w:val="none" w:sz="0" w:space="0" w:color="auto"/>
            <w:bottom w:val="none" w:sz="0" w:space="0" w:color="auto"/>
            <w:right w:val="none" w:sz="0" w:space="0" w:color="auto"/>
          </w:divBdr>
        </w:div>
        <w:div w:id="688291545">
          <w:marLeft w:val="0"/>
          <w:marRight w:val="0"/>
          <w:marTop w:val="0"/>
          <w:marBottom w:val="0"/>
          <w:divBdr>
            <w:top w:val="none" w:sz="0" w:space="0" w:color="auto"/>
            <w:left w:val="none" w:sz="0" w:space="0" w:color="auto"/>
            <w:bottom w:val="none" w:sz="0" w:space="0" w:color="auto"/>
            <w:right w:val="none" w:sz="0" w:space="0" w:color="auto"/>
          </w:divBdr>
        </w:div>
        <w:div w:id="1788743574">
          <w:marLeft w:val="0"/>
          <w:marRight w:val="0"/>
          <w:marTop w:val="0"/>
          <w:marBottom w:val="0"/>
          <w:divBdr>
            <w:top w:val="none" w:sz="0" w:space="0" w:color="auto"/>
            <w:left w:val="none" w:sz="0" w:space="0" w:color="auto"/>
            <w:bottom w:val="none" w:sz="0" w:space="0" w:color="auto"/>
            <w:right w:val="none" w:sz="0" w:space="0" w:color="auto"/>
          </w:divBdr>
        </w:div>
        <w:div w:id="1870069928">
          <w:marLeft w:val="0"/>
          <w:marRight w:val="0"/>
          <w:marTop w:val="0"/>
          <w:marBottom w:val="0"/>
          <w:divBdr>
            <w:top w:val="none" w:sz="0" w:space="0" w:color="auto"/>
            <w:left w:val="none" w:sz="0" w:space="0" w:color="auto"/>
            <w:bottom w:val="none" w:sz="0" w:space="0" w:color="auto"/>
            <w:right w:val="none" w:sz="0" w:space="0" w:color="auto"/>
          </w:divBdr>
        </w:div>
        <w:div w:id="962469200">
          <w:marLeft w:val="0"/>
          <w:marRight w:val="0"/>
          <w:marTop w:val="0"/>
          <w:marBottom w:val="0"/>
          <w:divBdr>
            <w:top w:val="none" w:sz="0" w:space="0" w:color="auto"/>
            <w:left w:val="none" w:sz="0" w:space="0" w:color="auto"/>
            <w:bottom w:val="none" w:sz="0" w:space="0" w:color="auto"/>
            <w:right w:val="none" w:sz="0" w:space="0" w:color="auto"/>
          </w:divBdr>
        </w:div>
        <w:div w:id="206530230">
          <w:marLeft w:val="0"/>
          <w:marRight w:val="0"/>
          <w:marTop w:val="0"/>
          <w:marBottom w:val="0"/>
          <w:divBdr>
            <w:top w:val="none" w:sz="0" w:space="0" w:color="auto"/>
            <w:left w:val="none" w:sz="0" w:space="0" w:color="auto"/>
            <w:bottom w:val="none" w:sz="0" w:space="0" w:color="auto"/>
            <w:right w:val="none" w:sz="0" w:space="0" w:color="auto"/>
          </w:divBdr>
        </w:div>
        <w:div w:id="2036150650">
          <w:marLeft w:val="0"/>
          <w:marRight w:val="0"/>
          <w:marTop w:val="0"/>
          <w:marBottom w:val="0"/>
          <w:divBdr>
            <w:top w:val="none" w:sz="0" w:space="0" w:color="auto"/>
            <w:left w:val="none" w:sz="0" w:space="0" w:color="auto"/>
            <w:bottom w:val="none" w:sz="0" w:space="0" w:color="auto"/>
            <w:right w:val="none" w:sz="0" w:space="0" w:color="auto"/>
          </w:divBdr>
        </w:div>
        <w:div w:id="429740415">
          <w:marLeft w:val="0"/>
          <w:marRight w:val="0"/>
          <w:marTop w:val="0"/>
          <w:marBottom w:val="0"/>
          <w:divBdr>
            <w:top w:val="none" w:sz="0" w:space="0" w:color="auto"/>
            <w:left w:val="none" w:sz="0" w:space="0" w:color="auto"/>
            <w:bottom w:val="none" w:sz="0" w:space="0" w:color="auto"/>
            <w:right w:val="none" w:sz="0" w:space="0" w:color="auto"/>
          </w:divBdr>
        </w:div>
        <w:div w:id="640506123">
          <w:marLeft w:val="0"/>
          <w:marRight w:val="0"/>
          <w:marTop w:val="0"/>
          <w:marBottom w:val="0"/>
          <w:divBdr>
            <w:top w:val="none" w:sz="0" w:space="0" w:color="auto"/>
            <w:left w:val="none" w:sz="0" w:space="0" w:color="auto"/>
            <w:bottom w:val="none" w:sz="0" w:space="0" w:color="auto"/>
            <w:right w:val="none" w:sz="0" w:space="0" w:color="auto"/>
          </w:divBdr>
        </w:div>
        <w:div w:id="370960976">
          <w:marLeft w:val="0"/>
          <w:marRight w:val="0"/>
          <w:marTop w:val="0"/>
          <w:marBottom w:val="0"/>
          <w:divBdr>
            <w:top w:val="none" w:sz="0" w:space="0" w:color="auto"/>
            <w:left w:val="none" w:sz="0" w:space="0" w:color="auto"/>
            <w:bottom w:val="none" w:sz="0" w:space="0" w:color="auto"/>
            <w:right w:val="none" w:sz="0" w:space="0" w:color="auto"/>
          </w:divBdr>
        </w:div>
        <w:div w:id="823011287">
          <w:marLeft w:val="0"/>
          <w:marRight w:val="0"/>
          <w:marTop w:val="0"/>
          <w:marBottom w:val="0"/>
          <w:divBdr>
            <w:top w:val="none" w:sz="0" w:space="0" w:color="auto"/>
            <w:left w:val="none" w:sz="0" w:space="0" w:color="auto"/>
            <w:bottom w:val="none" w:sz="0" w:space="0" w:color="auto"/>
            <w:right w:val="none" w:sz="0" w:space="0" w:color="auto"/>
          </w:divBdr>
        </w:div>
        <w:div w:id="2020690856">
          <w:marLeft w:val="0"/>
          <w:marRight w:val="0"/>
          <w:marTop w:val="0"/>
          <w:marBottom w:val="0"/>
          <w:divBdr>
            <w:top w:val="none" w:sz="0" w:space="0" w:color="auto"/>
            <w:left w:val="none" w:sz="0" w:space="0" w:color="auto"/>
            <w:bottom w:val="none" w:sz="0" w:space="0" w:color="auto"/>
            <w:right w:val="none" w:sz="0" w:space="0" w:color="auto"/>
          </w:divBdr>
        </w:div>
      </w:divsChild>
    </w:div>
    <w:div w:id="195666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2consulting.fr/wp-content/uploads/2018/12/Prix-Plan-Vigilance18_A2-FIR_M%C3%A9thodologie.pdf" TargetMode="External"/><Relationship Id="rId13" Type="http://schemas.openxmlformats.org/officeDocument/2006/relationships/hyperlink" Target="mailto:gregoire.couste@frenchsif.org" TargetMode="External"/><Relationship Id="rId3" Type="http://schemas.openxmlformats.org/officeDocument/2006/relationships/settings" Target="settings.xml"/><Relationship Id="rId7" Type="http://schemas.openxmlformats.org/officeDocument/2006/relationships/hyperlink" Target="https://www.frenchsif.org/isr-esg/wp-content/uploads/FIR-Position-PPL-devoir-de-vigilance-171115.pdf" TargetMode="External"/><Relationship Id="rId12" Type="http://schemas.openxmlformats.org/officeDocument/2006/relationships/hyperlink" Target="mailto:patrick.viallanex@a2consulting.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nchsif.org/isr-es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2consulting.fr" TargetMode="External"/><Relationship Id="rId4" Type="http://schemas.openxmlformats.org/officeDocument/2006/relationships/webSettings" Target="webSettings.xml"/><Relationship Id="rId9" Type="http://schemas.openxmlformats.org/officeDocument/2006/relationships/hyperlink" Target="http://a2consulting.fr/wp-content/uploads/2018/12/Prix-Plan-Vigilance18_A2-FIR_Discours-A.Masse_.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2consulting.fr" TargetMode="External"/><Relationship Id="rId1" Type="http://schemas.openxmlformats.org/officeDocument/2006/relationships/hyperlink" Target="mailto:info@a2consulting.f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965</Words>
  <Characters>5311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Grégoire Cousté</dc:creator>
  <cp:keywords/>
  <dc:description/>
  <cp:lastModifiedBy>Lise LE GAL</cp:lastModifiedBy>
  <cp:revision>8</cp:revision>
  <dcterms:created xsi:type="dcterms:W3CDTF">2018-12-13T09:33:00Z</dcterms:created>
  <dcterms:modified xsi:type="dcterms:W3CDTF">2018-12-13T10:12:00Z</dcterms:modified>
</cp:coreProperties>
</file>